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left" w:pos="2454"/>
        </w:tabs>
        <w:jc w:val="center"/>
        <w:rPr>
          <w:rFonts w:ascii="Calibri" w:hAnsi="Calibri" w:cs="Calibri"/>
          <w:b/>
          <w:bCs/>
          <w:sz w:val="22"/>
          <w:szCs w:val="22"/>
        </w:rPr>
      </w:pPr>
    </w:p>
    <w:p>
      <w:pPr>
        <w:tabs>
          <w:tab w:val="left" w:pos="2454"/>
        </w:tabs>
        <w:jc w:val="center"/>
        <w:rPr>
          <w:rFonts w:ascii="Calibri" w:hAnsi="Calibri" w:cs="Calibri"/>
          <w:b/>
          <w:bCs/>
          <w:sz w:val="22"/>
          <w:szCs w:val="22"/>
        </w:rPr>
      </w:pPr>
    </w:p>
    <w:p>
      <w:pPr>
        <w:pStyle w:val="NoSpacing"/>
        <w:tabs>
          <w:tab w:val="left" w:pos="2454"/>
        </w:tabs>
        <w:jc w:val="center"/>
        <w:rPr>
          <w:rFonts w:ascii="Calibri" w:hAnsi="Calibri" w:cs="Calibri"/>
          <w:sz w:val="22"/>
          <w:szCs w:val="22"/>
        </w:rPr>
      </w:pPr>
      <w:r>
        <w:rPr>
          <w:rFonts w:ascii="Calibri" w:hAnsi="Calibri" w:cs="Calibri"/>
          <w:b/>
          <w:bCs/>
          <w:sz w:val="22"/>
          <w:szCs w:val="22"/>
        </w:rPr>
        <w:t>INSTRUCȚIUNI PENTRU OFERTANȚI / FIŞA DE DATE A ACHIZIŢIEI</w:t>
      </w:r>
    </w:p>
    <w:p>
      <w:pPr>
        <w:pStyle w:val="NoSpacing"/>
        <w:jc w:val="both"/>
        <w:rPr>
          <w:rFonts w:ascii="Calibri" w:hAnsi="Calibri" w:cs="Calibri"/>
          <w:b/>
          <w:bCs/>
          <w:sz w:val="22"/>
          <w:szCs w:val="22"/>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SECŢIUNEA I: AUTORITATEA CONTRACTANTĂ</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I.1) DENUMIRE ŞI ADRESE</w:t>
      </w:r>
    </w:p>
    <w:tbl>
      <w:tblPr>
        <w:tblW w:w="9645" w:type="dxa"/>
        <w:tblLayout w:type="fixed"/>
        <w:tblCellMar>
          <w:left w:w="105" w:type="dxa"/>
          <w:right w:w="105" w:type="dxa"/>
        </w:tblCellMar>
        <w:tblLook w:val="0000" w:firstRow="0" w:lastRow="0" w:firstColumn="0" w:lastColumn="0" w:noHBand="0" w:noVBand="0"/>
      </w:tblPr>
      <w:tblGrid>
        <w:gridCol w:w="9645"/>
      </w:tblGrid>
      <w:tr>
        <w:tc>
          <w:tcPr>
            <w:tcW w:w="96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noProof w:val="0"/>
                <w:sz w:val="22"/>
                <w:szCs w:val="22"/>
                <w:lang w:eastAsia="en-US"/>
              </w:rPr>
              <w:t>Denumire oficială:</w:t>
            </w:r>
            <w:r>
              <w:rPr>
                <w:rFonts w:ascii="Calibri" w:eastAsiaTheme="minorHAnsi" w:hAnsi="Calibri" w:cs="Calibri"/>
                <w:b/>
                <w:bCs/>
                <w:noProof w:val="0"/>
                <w:sz w:val="22"/>
                <w:szCs w:val="22"/>
                <w:lang w:eastAsia="en-US"/>
              </w:rPr>
              <w:t xml:space="preserve"> JUDETUL GALATI</w:t>
            </w:r>
          </w:p>
        </w:tc>
      </w:tr>
      <w:tr>
        <w:tc>
          <w:tcPr>
            <w:tcW w:w="96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de identificare fiscală: 3127476</w:t>
            </w:r>
          </w:p>
        </w:tc>
      </w:tr>
      <w:tr>
        <w:tc>
          <w:tcPr>
            <w:tcW w:w="96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Adresă: Strada: Eroilor, nr. 7</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Localitate: Galați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poştal: 800119</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Ţara: România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NUTS: RO224 Galati</w:t>
            </w:r>
          </w:p>
        </w:tc>
      </w:tr>
      <w:tr>
        <w:tc>
          <w:tcPr>
            <w:tcW w:w="9645" w:type="dxa"/>
            <w:tcBorders>
              <w:top w:val="single" w:sz="6" w:space="0" w:color="000000"/>
              <w:left w:val="single" w:sz="6" w:space="0" w:color="000000"/>
              <w:bottom w:val="single" w:sz="6" w:space="0" w:color="000000"/>
              <w:right w:val="single" w:sz="6" w:space="0" w:color="000000"/>
            </w:tcBorders>
            <w:shd w:val="clear" w:color="auto" w:fill="FFFFFF" w:themeFill="background1"/>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E-mail: licitatii@cjgalati.ro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Telefon: +40 236302506</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Fax: +40 0236468060</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Persoana de contact: ANDREEA NOEMI ILIE</w:t>
            </w:r>
          </w:p>
        </w:tc>
      </w:tr>
      <w:tr>
        <w:tc>
          <w:tcPr>
            <w:tcW w:w="96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hAnsi="Calibri" w:cs="Calibri"/>
                <w:sz w:val="22"/>
                <w:szCs w:val="22"/>
              </w:rPr>
            </w:pPr>
            <w:r>
              <w:rPr>
                <w:rFonts w:ascii="Calibri" w:eastAsiaTheme="minorHAnsi" w:hAnsi="Calibri" w:cs="Calibri"/>
                <w:noProof w:val="0"/>
                <w:sz w:val="22"/>
                <w:szCs w:val="22"/>
                <w:lang w:eastAsia="en-US"/>
              </w:rPr>
              <w:t xml:space="preserve">Adresa de internet (URL): </w:t>
            </w:r>
            <w:hyperlink r:id="rId13" w:history="1">
              <w:r>
                <w:rPr>
                  <w:rStyle w:val="Hyperlink"/>
                  <w:rFonts w:ascii="Calibri" w:hAnsi="Calibri" w:cs="Calibri"/>
                  <w:sz w:val="22"/>
                  <w:szCs w:val="22"/>
                  <w:lang w:eastAsia="en-US"/>
                </w:rPr>
                <w:t>www.cjgalati.ro</w:t>
              </w:r>
            </w:hyperlink>
            <w:r>
              <w:t xml:space="preserve"> </w:t>
            </w:r>
            <w:r>
              <w:rPr>
                <w:rStyle w:val="Hyperlink"/>
                <w:rFonts w:ascii="Calibri" w:hAnsi="Calibri" w:cs="Calibri"/>
                <w:color w:val="auto"/>
                <w:sz w:val="22"/>
                <w:szCs w:val="22"/>
                <w:lang w:eastAsia="en-US"/>
              </w:rPr>
              <w:t xml:space="preserve"> </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Adresa profilului cumpărătorului (URL): </w:t>
            </w:r>
            <w:hyperlink r:id="rId14" w:history="1">
              <w:r>
                <w:rPr>
                  <w:rStyle w:val="Hyperlink"/>
                  <w:rFonts w:ascii="Calibri" w:eastAsiaTheme="minorHAnsi" w:hAnsi="Calibri" w:cs="Calibri"/>
                  <w:noProof w:val="0"/>
                  <w:color w:val="auto"/>
                  <w:sz w:val="22"/>
                  <w:szCs w:val="22"/>
                  <w:lang w:eastAsia="en-US"/>
                </w:rPr>
                <w:t>www.e-licitatie.ro</w:t>
              </w:r>
            </w:hyperlink>
            <w:r>
              <w:t xml:space="preserve"> </w:t>
            </w:r>
            <w:r>
              <w:rPr>
                <w:rFonts w:ascii="Calibri" w:eastAsiaTheme="minorHAnsi" w:hAnsi="Calibri" w:cs="Calibri"/>
                <w:noProof w:val="0"/>
                <w:sz w:val="22"/>
                <w:szCs w:val="22"/>
                <w:lang w:eastAsia="en-US"/>
              </w:rPr>
              <w:t xml:space="preserve"> </w:t>
            </w:r>
          </w:p>
        </w:tc>
      </w:tr>
    </w:tbl>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I.2)</w:t>
      </w:r>
      <w:r>
        <w:rPr>
          <w:rFonts w:ascii="Calibri" w:eastAsiaTheme="minorHAnsi" w:hAnsi="Calibri" w:cs="Calibri"/>
          <w:b/>
          <w:bCs/>
          <w:noProof w:val="0"/>
          <w:sz w:val="22"/>
          <w:szCs w:val="22"/>
          <w:lang w:eastAsia="en-US"/>
        </w:rPr>
        <w:tab/>
        <w:t>ACHIZIŢIE COMUNĂ</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Contractul implica o achiziţie comună: Da</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Contractul este atribuit de un organism central de achiziţie: Nu</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ASOCIATIA DE DEZVOLTARE INTERCOMUNITARA ECOSERV GALATI</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Cod de identificare fiscala: 35196121;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Adresa: Strada Tecuci, Nr. 5;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Localitate: Galati;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Cod Postal: 800052;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Tara: Romania;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Codul NUTS: RO224 Galati</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I.3)</w:t>
      </w:r>
      <w:r>
        <w:rPr>
          <w:rFonts w:ascii="Calibri" w:eastAsiaTheme="minorHAnsi" w:hAnsi="Calibri" w:cs="Calibri"/>
          <w:b/>
          <w:bCs/>
          <w:noProof w:val="0"/>
          <w:sz w:val="22"/>
          <w:szCs w:val="22"/>
          <w:lang w:eastAsia="en-US"/>
        </w:rPr>
        <w:tab/>
        <w:t>COMUNICARE</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Documentele de achiziţii publice sunt disponibile pentru acces direct, nerestricţionat, complet și gratuit la (Website): </w:t>
      </w:r>
      <w:hyperlink r:id="rId15" w:history="1">
        <w:r>
          <w:rPr>
            <w:rStyle w:val="Hyperlink"/>
            <w:rFonts w:ascii="Calibri" w:eastAsiaTheme="minorHAnsi" w:hAnsi="Calibri" w:cs="Calibri"/>
            <w:noProof w:val="0"/>
            <w:color w:val="auto"/>
            <w:sz w:val="22"/>
            <w:szCs w:val="22"/>
            <w:lang w:eastAsia="en-US"/>
          </w:rPr>
          <w:t>www.e-licitatie.ro</w:t>
        </w:r>
      </w:hyperlink>
      <w:r>
        <w:rPr>
          <w:rFonts w:ascii="Calibri" w:eastAsiaTheme="minorHAnsi" w:hAnsi="Calibri" w:cs="Calibri"/>
          <w:noProof w:val="0"/>
          <w:sz w:val="22"/>
          <w:szCs w:val="22"/>
          <w:lang w:eastAsia="en-US"/>
        </w:rPr>
        <w:t xml:space="preserve"> </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Număr zile până la care se pot solicita clarificări înainte de data limita de depunere a ofertelor: </w:t>
      </w:r>
      <w:r>
        <w:rPr>
          <w:rFonts w:ascii="Calibri" w:eastAsiaTheme="minorHAnsi" w:hAnsi="Calibri" w:cs="Calibri"/>
          <w:b/>
          <w:bCs/>
          <w:noProof w:val="0"/>
          <w:sz w:val="22"/>
          <w:szCs w:val="22"/>
          <w:lang w:eastAsia="en-US"/>
        </w:rPr>
        <w:t>20</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Informaţii suplimentare pot fi obţinute de la: adresa menţionată mai sus</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Ofertele, candidaturile sau cererile de participare trebuie depuse la: adresa menţionată mai sus.</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I.6) ACTIVITATE PRINCIPALĂ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Autoritate regională sau locală</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SECŢIUNEA II: OBIECTUL CONTRACTULUI</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II.1) OBIECTUL ACHIZIŢIEI</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noProof w:val="0"/>
          <w:sz w:val="22"/>
          <w:szCs w:val="22"/>
          <w:lang w:eastAsia="en-US"/>
        </w:rPr>
        <w:t>Procedura reprezinta o reluare a unei proceduri sau lot din trecut?</w:t>
      </w:r>
      <w:r>
        <w:rPr>
          <w:rFonts w:ascii="Calibri" w:eastAsiaTheme="minorHAnsi" w:hAnsi="Calibri" w:cs="Calibri"/>
          <w:b/>
          <w:bCs/>
          <w:noProof w:val="0"/>
          <w:sz w:val="22"/>
          <w:szCs w:val="22"/>
          <w:lang w:eastAsia="en-US"/>
        </w:rPr>
        <w:t xml:space="preserve"> Nu</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Formularul utilajelor disponibile pentru contract - Achizitia se refera la un proiect in care se solicita operatorilor economici sa declare utilajele pe care le vor utiliza in derularea contractului (Conform HG NR. 342/2022): Nu</w:t>
      </w:r>
    </w:p>
    <w:tbl>
      <w:tblPr>
        <w:tblW w:w="0" w:type="auto"/>
        <w:tblLayout w:type="fixed"/>
        <w:tblCellMar>
          <w:left w:w="105" w:type="dxa"/>
          <w:right w:w="105" w:type="dxa"/>
        </w:tblCellMar>
        <w:tblLook w:val="0000" w:firstRow="0" w:lastRow="0" w:firstColumn="0" w:lastColumn="0" w:noHBand="0" w:noVBand="0"/>
      </w:tblPr>
      <w:tblGrid>
        <w:gridCol w:w="9750"/>
      </w:tblGrid>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II.1.1) Titlu</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PROIECTARE-EXECUŢIE-OPERARE STAŢIE DE TRATARE MECANO-BIOLOGICĂ CU DIGESTIE ANAEROBĂ ȘI RECUPERARE DE ENERGIE ȘI STAȚIE DE TRANSFER GALAŢI</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II.1.2) Cod CPV principal</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lastRenderedPageBreak/>
              <w:t>90513000-6 Servicii de tratare si eliminare de deseuri menajere si deseuri nepericuloase</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II.1.3) Tip de contract</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Servicii</w:t>
            </w:r>
          </w:p>
        </w:tc>
      </w:tr>
    </w:tbl>
    <w:p>
      <w:pPr>
        <w:suppressAutoHyphens w:val="0"/>
        <w:autoSpaceDE w:val="0"/>
        <w:autoSpaceDN w:val="0"/>
        <w:adjustRightInd w:val="0"/>
        <w:rPr>
          <w:rFonts w:ascii="Calibri" w:eastAsiaTheme="minorHAnsi" w:hAnsi="Calibri" w:cs="Calibri"/>
          <w:noProof w:val="0"/>
          <w:sz w:val="22"/>
          <w:szCs w:val="22"/>
          <w:highlight w:val="yellow"/>
          <w:shd w:val="clear" w:color="auto" w:fill="FFFF00"/>
          <w:lang w:eastAsia="en-US"/>
        </w:rPr>
      </w:pPr>
    </w:p>
    <w:tbl>
      <w:tblPr>
        <w:tblW w:w="0" w:type="auto"/>
        <w:tblLayout w:type="fixed"/>
        <w:tblCellMar>
          <w:left w:w="105" w:type="dxa"/>
          <w:right w:w="105" w:type="dxa"/>
        </w:tblCellMar>
        <w:tblLook w:val="0000" w:firstRow="0" w:lastRow="0" w:firstColumn="0" w:lastColumn="0" w:noHBand="0" w:noVBand="0"/>
      </w:tblPr>
      <w:tblGrid>
        <w:gridCol w:w="9750"/>
      </w:tblGrid>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bookmarkStart w:id="0" w:name="_Hlk531605353"/>
            <w:bookmarkEnd w:id="0"/>
            <w:r>
              <w:rPr>
                <w:rFonts w:ascii="Calibri" w:eastAsiaTheme="minorHAnsi" w:hAnsi="Calibri" w:cs="Calibri"/>
                <w:b/>
                <w:bCs/>
                <w:noProof w:val="0"/>
                <w:sz w:val="22"/>
                <w:szCs w:val="22"/>
                <w:lang w:eastAsia="en-US"/>
              </w:rPr>
              <w:t>II.1.4) Descrierea succintă a contractului sau a achiziţiei/achiziţiilor</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Prezenta achiziţie publica este realizată în comun de o asociere de autorităţi contractante, in baza art. 44 din Legea 98/2016. JUDEŢUL GALAŢI (Consiliul Judeţean Galaţi) este autoritatea contractantă mandatată să organizeze prezenta procedura de atribuire, ca lider de asociere. Prin Autoritate Contractanta se va inteiege oricare dintre autorităţile contractante beneficiare/semnatare ale contractului de achiziţie publică.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Autorităţile contractante care se asociază pentru realizarea prezentei achiziţii comune sunt: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Judeţul Galaţi (Consiliul Judeţean Galaţi);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Asociaţia de Dezvoltare Intercomunitară ECOSERV Galaţi.</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Contractul include proiectarea, execuţia şi operarea staţiei de transfer şi a stației de tratare mecano-bioiogică cu digestie anaerobă Galaţi, respectiv:</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 Elaborare Proiect Tehnic in conformitate cu legislaţia naţionala, incluzând toate documentele necesare (memorii, desene, calcule etc.) şi orice documentaţie necesara pentru obţinerea autorizaţiei de construcţie;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b) Elaborarea documentaţiei necesare obţinerii autorizaţiilor şi avizelor necesare execuţiei;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 Lucrări de construcţie;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 Furnizare şi montaj utilaje şi echipamente tehnologice;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e) Testare şi punere in funcţiune;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f) Remedierea eventualelor defecte apărute in Perioada de Garanţie;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g) Administrarea şi operarea staţiei de transfer şi a stației de tratare mecano-biologică cu digestie anaerobă.</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Perioada de Garanţie este de 36 luni.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Perioada de operare a instalaţiilor este de 10 ani.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In cadrul contractului sunt definite 4 sectoare de lucrări dupa cum urmează: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Sector 1 - Staţia de Transfer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Sector 2 - Stația de tratare mecanica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Sector 3 - Stația de digestie anaerobă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Sector 4 - Stația de compostare a digestatului</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Etapa de proiectare (6 luni): elaborare proiect Tehnic în conformitate cu legislația națională, incluzând toate documentele necesare.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Etapa de execuție (32 luni): lucrări de construcție, furnizare și montaj utilaje și echipamente tehnologice, testare și punere în funcțiune.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Etapa de operare (10 ani): administrarea și operarea stației de transfer și a stației de tartare mecano-biologică cu recuperare de energie</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Tarifele sunt prezentate in Studiul de fundamentare, iar sumarul plafoanelor maximale pentru tarifele aferente anului 1 de operare sunt prezentate mai jos:</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maxim anul 1, pentru transferul deşeurilor de hârtie, metal, plastic și sticlă: 175,08 lei/tonă fără TVA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maxim anul 1, pentru transferul deşeurilor reziduale: 187,73 lei/tonă fără TVA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maxim anul 1, tratare mecano-biologică: 556,28 lei/tonă fără TVA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maxim anul 1, digestie anaerobă: 520,51 lei/tonă fără TVA</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pot solicita clarificari intr-un termen ce nu va depasi 20 zile pana la data limita stabilita pentru depunerea ofertelor.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AC va raspunde o singura data la toate solicitarile de clarificari primite, in termen de 11 zile pana la data limita stabilita pentru depunerea ofertelor.</w:t>
            </w:r>
            <w:bookmarkStart w:id="1" w:name="_Hlk531605379"/>
            <w:bookmarkEnd w:id="1"/>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II.1.5 Valoarea totală estimată</w:t>
            </w:r>
          </w:p>
        </w:tc>
      </w:tr>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Valoarea estimată fără TVA: </w:t>
            </w:r>
            <w:r>
              <w:rPr>
                <w:rFonts w:ascii="Calibri" w:eastAsiaTheme="minorHAnsi" w:hAnsi="Calibri" w:cs="Calibri"/>
                <w:b/>
                <w:bCs/>
                <w:noProof w:val="0"/>
                <w:sz w:val="22"/>
                <w:szCs w:val="22"/>
                <w:lang w:eastAsia="en-US"/>
              </w:rPr>
              <w:t>948.361.921,30</w:t>
            </w:r>
            <w:r>
              <w:rPr>
                <w:rFonts w:ascii="Calibri" w:eastAsiaTheme="minorHAnsi" w:hAnsi="Calibri" w:cs="Calibri"/>
                <w:noProof w:val="0"/>
                <w:sz w:val="22"/>
                <w:szCs w:val="22"/>
                <w:lang w:eastAsia="en-US"/>
              </w:rPr>
              <w:t xml:space="preserve">; Moneda: </w:t>
            </w:r>
            <w:r>
              <w:rPr>
                <w:rFonts w:ascii="Calibri" w:eastAsiaTheme="minorHAnsi" w:hAnsi="Calibri" w:cs="Calibri"/>
                <w:b/>
                <w:bCs/>
                <w:noProof w:val="0"/>
                <w:sz w:val="22"/>
                <w:szCs w:val="22"/>
                <w:lang w:eastAsia="en-US"/>
              </w:rPr>
              <w:t>RON</w:t>
            </w:r>
          </w:p>
        </w:tc>
      </w:tr>
    </w:tbl>
    <w:p>
      <w:pPr>
        <w:suppressAutoHyphens w:val="0"/>
        <w:autoSpaceDE w:val="0"/>
        <w:autoSpaceDN w:val="0"/>
        <w:adjustRightInd w:val="0"/>
        <w:jc w:val="both"/>
        <w:rPr>
          <w:rFonts w:ascii="Calibri" w:eastAsiaTheme="minorHAnsi" w:hAnsi="Calibri" w:cs="Calibri"/>
          <w:b/>
          <w:bCs/>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 DESCRIERE</w:t>
      </w:r>
    </w:p>
    <w:tbl>
      <w:tblPr>
        <w:tblW w:w="9735" w:type="dxa"/>
        <w:tblInd w:w="105" w:type="dxa"/>
        <w:tblLayout w:type="fixed"/>
        <w:tblCellMar>
          <w:left w:w="105" w:type="dxa"/>
          <w:right w:w="105" w:type="dxa"/>
        </w:tblCellMar>
        <w:tblLook w:val="0000" w:firstRow="0" w:lastRow="0" w:firstColumn="0" w:lastColumn="0" w:noHBand="0" w:noVBand="0"/>
      </w:tblPr>
      <w:tblGrid>
        <w:gridCol w:w="3245"/>
        <w:gridCol w:w="3395"/>
        <w:gridCol w:w="3095"/>
      </w:tblGrid>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II.2.2 Coduri CPV secundare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45222100-0 Lucrari de constructii de uzine de tratare a deseurilor</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45232470-7 Statie de transfer de deseuri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Theme="minorHAnsi" w:eastAsiaTheme="minorHAnsi" w:hAnsiTheme="minorHAnsi" w:cstheme="minorHAnsi"/>
                <w:noProof w:val="0"/>
                <w:sz w:val="22"/>
                <w:szCs w:val="22"/>
                <w:lang w:eastAsia="en-US"/>
              </w:rPr>
              <w:t>71322000-1 Servicii de proiectare tehnica pentru constructia de lucrari publice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II.2.3 Locul de executare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NUTS: RO224 Galați</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Locul principal de executare: </w:t>
            </w:r>
            <w:r>
              <w:rPr>
                <w:rFonts w:asciiTheme="minorHAnsi" w:eastAsiaTheme="minorHAnsi" w:hAnsiTheme="minorHAnsi" w:cstheme="minorHAnsi"/>
                <w:noProof w:val="0"/>
                <w:sz w:val="22"/>
                <w:szCs w:val="22"/>
                <w:lang w:eastAsia="en-US"/>
              </w:rPr>
              <w:t>Județul Galați</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bookmarkStart w:id="2" w:name="_Hlk531605494"/>
            <w:bookmarkStart w:id="3" w:name="_Hlk226541445"/>
            <w:bookmarkEnd w:id="2"/>
            <w:r>
              <w:rPr>
                <w:rFonts w:asciiTheme="minorHAnsi" w:eastAsiaTheme="minorHAnsi" w:hAnsiTheme="minorHAnsi" w:cstheme="minorHAnsi"/>
                <w:b/>
                <w:bCs/>
                <w:noProof w:val="0"/>
                <w:sz w:val="22"/>
                <w:szCs w:val="22"/>
                <w:lang w:eastAsia="en-US"/>
              </w:rPr>
              <w:t>II.2.4 Descrierea achiziţiei publice</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Contractul are ca obiect proiectarea, execuţia şi operarea următoarelor obiective:</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1) Stație de tratare mecano-biologică cu digestie anaerobă la Galaţi, cu următoarele caracteristici:</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treapta mecanică cu o capacitate de 50.000 t/an;</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instalaţie de digestie anaerobă semi-uscată, cu o capacitate de 89.000 t/an;</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2) Staţie de transfer la Galaţi (capacitate 23.000 t/an).</w:t>
            </w:r>
          </w:p>
          <w:p>
            <w:pPr>
              <w:suppressAutoHyphens w:val="0"/>
              <w:autoSpaceDE w:val="0"/>
              <w:autoSpaceDN w:val="0"/>
              <w:adjustRightInd w:val="0"/>
              <w:jc w:val="both"/>
              <w:rPr>
                <w:rFonts w:asciiTheme="minorHAnsi" w:eastAsiaTheme="minorHAnsi" w:hAnsiTheme="minorHAnsi" w:cstheme="minorHAnsi"/>
                <w:noProof w:val="0"/>
                <w:sz w:val="22"/>
                <w:szCs w:val="22"/>
                <w:highlight w:val="yellow"/>
                <w:lang w:eastAsia="en-US"/>
              </w:rPr>
            </w:pP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Investițiile puse în seama viitorului operator necesare operării obiectului de investiție ”Stație de tratare mecano-biologică cu digestor Galați” sunt:</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instalație de cogenerare, pentru producerea energiei electrice necesare funcționării instalației, pe baza gazului rezultat;</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instalație de compostare și stabilizare a digestatului rezultat din tratarea biologică, pentru a asigura calitatea unui compost valorificabil în agricultură, și stabilizarea digestatului din deșeuri reziduale, echipamente pentru obținerea unei calități corespunzătoare a compostului;</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investiții necesare pentru pregătirea RDF conform cerințelor instalațiilor de valorificare energetică;</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 investiții necesare pentru pre-tratarea biodeșeurilor colectate separat.</w:t>
            </w:r>
          </w:p>
          <w:p>
            <w:pPr>
              <w:suppressAutoHyphens w:val="0"/>
              <w:autoSpaceDE w:val="0"/>
              <w:autoSpaceDN w:val="0"/>
              <w:adjustRightInd w:val="0"/>
              <w:jc w:val="both"/>
              <w:rPr>
                <w:rFonts w:asciiTheme="minorHAnsi" w:eastAsiaTheme="minorHAnsi" w:hAnsiTheme="minorHAnsi" w:cstheme="minorHAnsi"/>
                <w:noProof w:val="0"/>
                <w:sz w:val="22"/>
                <w:szCs w:val="22"/>
                <w:highlight w:val="yellow"/>
                <w:lang w:eastAsia="en-US"/>
              </w:rPr>
            </w:pP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Obiectul contractului include:</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a) Etapa proiectare (6 luni): elaborare Proiect Tehnic in conformitate cu legislaţia naţională, incluzând toate documentele necesare (memorii, părţi scrise, părţi desenate, procese tehnologice, documentaţii pentru obţinerea de avize, acorduri, autorizaţii, etc.) şi orice documentaţie necesara pentru obţinerea autorizaţiei de construire; elaborare documentaţie necesară obţinerii autorizaţiilor şi avizelor necesare execuţiei;</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b) Etapa execuţie (32 luni): lucrări de construcţie; furnizare şi montaj utilaje şi echipamente tehnologice; testare şi punere in funcţiune; remedierea eventualelor defecte apărute se va face in Perioada de Garanţie (36 luni);</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eastAsiaTheme="minorHAnsi" w:hAnsiTheme="minorHAnsi" w:cstheme="minorHAnsi"/>
                <w:noProof w:val="0"/>
                <w:sz w:val="22"/>
                <w:szCs w:val="22"/>
                <w:lang w:eastAsia="en-US"/>
              </w:rPr>
              <w:t>c) Etapa operare (10 ani): administrarea şi operarea staţiei de transfer; administrarea şi operarea stației de tratare mecano-biologică cu digestie anaerobă.</w:t>
            </w: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p>
          <w:p>
            <w:pPr>
              <w:suppressAutoHyphens w:val="0"/>
              <w:autoSpaceDE w:val="0"/>
              <w:autoSpaceDN w:val="0"/>
              <w:adjustRightInd w:val="0"/>
              <w:jc w:val="both"/>
              <w:rPr>
                <w:rFonts w:asciiTheme="minorHAnsi" w:eastAsiaTheme="minorHAnsi" w:hAnsiTheme="minorHAnsi" w:cstheme="minorHAnsi"/>
                <w:noProof w:val="0"/>
                <w:sz w:val="22"/>
                <w:szCs w:val="22"/>
                <w:lang w:eastAsia="en-US"/>
              </w:rPr>
            </w:pPr>
            <w:r>
              <w:rPr>
                <w:rFonts w:asciiTheme="minorHAnsi" w:hAnsiTheme="minorHAnsi" w:cstheme="minorHAnsi"/>
                <w:sz w:val="22"/>
                <w:szCs w:val="22"/>
              </w:rPr>
              <w:t xml:space="preserve">Valoarea totală estimată a contractului de delegare este de </w:t>
            </w:r>
            <w:r>
              <w:rPr>
                <w:rFonts w:asciiTheme="minorHAnsi" w:hAnsiTheme="minorHAnsi" w:cstheme="minorHAnsi"/>
                <w:b/>
                <w:sz w:val="22"/>
                <w:szCs w:val="22"/>
              </w:rPr>
              <w:t>948.361.921,30 lei</w:t>
            </w:r>
            <w:r>
              <w:rPr>
                <w:rFonts w:asciiTheme="minorHAnsi" w:hAnsiTheme="minorHAnsi" w:cstheme="minorHAnsi"/>
                <w:sz w:val="22"/>
                <w:szCs w:val="22"/>
              </w:rPr>
              <w:t xml:space="preserve">, fără TVA, pentru o perioadă </w:t>
            </w:r>
            <w:r>
              <w:rPr>
                <w:rFonts w:asciiTheme="minorHAnsi" w:hAnsiTheme="minorHAnsi" w:cstheme="minorHAnsi"/>
                <w:b/>
                <w:bCs/>
                <w:sz w:val="22"/>
                <w:szCs w:val="22"/>
              </w:rPr>
              <w:t>de 158 de luni</w:t>
            </w:r>
            <w:r>
              <w:rPr>
                <w:rFonts w:asciiTheme="minorHAnsi" w:hAnsiTheme="minorHAnsi" w:cstheme="minorHAnsi"/>
                <w:sz w:val="22"/>
                <w:szCs w:val="22"/>
              </w:rPr>
              <w:t xml:space="preserve">, din care pentru proiectare </w:t>
            </w:r>
            <w:r>
              <w:rPr>
                <w:rFonts w:asciiTheme="minorHAnsi" w:hAnsiTheme="minorHAnsi" w:cstheme="minorHAnsi"/>
                <w:b/>
                <w:bCs/>
                <w:sz w:val="22"/>
                <w:szCs w:val="22"/>
              </w:rPr>
              <w:t>12.860.634,51</w:t>
            </w:r>
            <w:r>
              <w:rPr>
                <w:rFonts w:asciiTheme="minorHAnsi" w:hAnsiTheme="minorHAnsi" w:cstheme="minorHAnsi"/>
                <w:sz w:val="22"/>
                <w:szCs w:val="22"/>
              </w:rPr>
              <w:t xml:space="preserve"> lei, fără TVA și pentru execuție </w:t>
            </w:r>
            <w:r>
              <w:rPr>
                <w:rFonts w:asciiTheme="minorHAnsi" w:hAnsiTheme="minorHAnsi" w:cstheme="minorHAnsi"/>
                <w:b/>
                <w:bCs/>
                <w:sz w:val="22"/>
                <w:szCs w:val="22"/>
              </w:rPr>
              <w:t>292.578.170,31 lei</w:t>
            </w:r>
            <w:r>
              <w:rPr>
                <w:rFonts w:asciiTheme="minorHAnsi" w:hAnsiTheme="minorHAnsi" w:cstheme="minorHAnsi"/>
                <w:sz w:val="22"/>
                <w:szCs w:val="22"/>
              </w:rPr>
              <w:t xml:space="preserve"> fără TVA, iar pentru </w:t>
            </w:r>
            <w:r>
              <w:rPr>
                <w:rFonts w:asciiTheme="minorHAnsi" w:hAnsiTheme="minorHAnsi" w:cstheme="minorHAnsi"/>
                <w:b/>
                <w:bCs/>
                <w:sz w:val="22"/>
                <w:szCs w:val="22"/>
              </w:rPr>
              <w:t>10 ani de operare</w:t>
            </w:r>
            <w:r>
              <w:rPr>
                <w:rFonts w:asciiTheme="minorHAnsi" w:hAnsiTheme="minorHAnsi" w:cstheme="minorHAnsi"/>
                <w:sz w:val="22"/>
                <w:szCs w:val="22"/>
              </w:rPr>
              <w:t xml:space="preserve"> </w:t>
            </w:r>
            <w:r>
              <w:rPr>
                <w:rFonts w:asciiTheme="minorHAnsi" w:hAnsiTheme="minorHAnsi" w:cstheme="minorHAnsi"/>
                <w:b/>
                <w:bCs/>
                <w:sz w:val="22"/>
                <w:szCs w:val="22"/>
              </w:rPr>
              <w:t>642.923.116,48 lei</w:t>
            </w:r>
            <w:r>
              <w:rPr>
                <w:rFonts w:asciiTheme="minorHAnsi" w:hAnsiTheme="minorHAnsi" w:cstheme="minorHAnsi"/>
                <w:sz w:val="22"/>
                <w:szCs w:val="22"/>
              </w:rPr>
              <w:t xml:space="preserve">, fără TVA, însemnând o valoare medie anuală de </w:t>
            </w:r>
            <w:r>
              <w:rPr>
                <w:rFonts w:asciiTheme="minorHAnsi" w:hAnsiTheme="minorHAnsi" w:cstheme="minorHAnsi"/>
                <w:b/>
                <w:sz w:val="22"/>
                <w:szCs w:val="22"/>
              </w:rPr>
              <w:t>64.292.311,65</w:t>
            </w:r>
            <w:r>
              <w:rPr>
                <w:rFonts w:asciiTheme="minorHAnsi" w:hAnsiTheme="minorHAnsi" w:cstheme="minorHAnsi"/>
                <w:sz w:val="22"/>
                <w:szCs w:val="22"/>
              </w:rPr>
              <w:t xml:space="preserve"> </w:t>
            </w:r>
            <w:r>
              <w:rPr>
                <w:rFonts w:asciiTheme="minorHAnsi" w:hAnsiTheme="minorHAnsi" w:cstheme="minorHAnsi"/>
                <w:b/>
                <w:bCs/>
                <w:sz w:val="22"/>
                <w:szCs w:val="22"/>
              </w:rPr>
              <w:t>lei</w:t>
            </w:r>
            <w:r>
              <w:rPr>
                <w:rFonts w:asciiTheme="minorHAnsi" w:hAnsiTheme="minorHAnsi" w:cstheme="minorHAnsi"/>
                <w:sz w:val="22"/>
                <w:szCs w:val="22"/>
              </w:rPr>
              <w:t>, fără TVA</w:t>
            </w:r>
            <w:r>
              <w:rPr>
                <w:rFonts w:asciiTheme="minorHAnsi" w:eastAsiaTheme="minorHAnsi" w:hAnsiTheme="minorHAnsi" w:cstheme="minorHAnsi"/>
                <w:noProof w:val="0"/>
                <w:sz w:val="22"/>
                <w:szCs w:val="22"/>
                <w:lang w:eastAsia="en-US"/>
              </w:rPr>
              <w:t>.</w:t>
            </w:r>
            <w:bookmarkEnd w:id="3"/>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II.2.5 Criterii de atribuire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Cel mai bun raport calitate – preț</w:t>
            </w:r>
          </w:p>
        </w:tc>
      </w:tr>
      <w:tr>
        <w:trPr>
          <w:trHeight w:val="390"/>
        </w:trPr>
        <w:tc>
          <w:tcPr>
            <w:tcW w:w="3245" w:type="dxa"/>
            <w:tcBorders>
              <w:top w:val="single" w:sz="6" w:space="0" w:color="000000"/>
              <w:left w:val="single" w:sz="6" w:space="0" w:color="000000"/>
              <w:bottom w:val="single" w:sz="6" w:space="0" w:color="000000"/>
              <w:right w:val="single" w:sz="6" w:space="0" w:color="000000"/>
            </w:tcBorders>
            <w:shd w:val="clear" w:color="auto" w:fill="F2F2F2"/>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Denumire factor evaluare </w:t>
            </w:r>
          </w:p>
        </w:tc>
        <w:tc>
          <w:tcPr>
            <w:tcW w:w="3395" w:type="dxa"/>
            <w:tcBorders>
              <w:top w:val="single" w:sz="6" w:space="0" w:color="000000"/>
              <w:left w:val="single" w:sz="6" w:space="0" w:color="000000"/>
              <w:bottom w:val="single" w:sz="6" w:space="0" w:color="000000"/>
              <w:right w:val="single" w:sz="6" w:space="0" w:color="000000"/>
            </w:tcBorders>
            <w:shd w:val="clear" w:color="auto" w:fill="F2F2F2"/>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Descriere</w:t>
            </w:r>
          </w:p>
        </w:tc>
        <w:tc>
          <w:tcPr>
            <w:tcW w:w="3095" w:type="dxa"/>
            <w:tcBorders>
              <w:top w:val="single" w:sz="6" w:space="0" w:color="000000"/>
              <w:left w:val="single" w:sz="6" w:space="0" w:color="000000"/>
              <w:bottom w:val="single" w:sz="6" w:space="0" w:color="000000"/>
              <w:right w:val="single" w:sz="6" w:space="0" w:color="000000"/>
            </w:tcBorders>
            <w:shd w:val="clear" w:color="auto" w:fill="F2F2F2"/>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Pondere</w:t>
            </w:r>
          </w:p>
        </w:tc>
      </w:tr>
      <w:tr>
        <w:trPr>
          <w:trHeight w:val="375"/>
        </w:trPr>
        <w:tc>
          <w:tcPr>
            <w:tcW w:w="32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1. Prețul ofertei </w:t>
            </w:r>
          </w:p>
        </w:tc>
        <w:tc>
          <w:tcPr>
            <w:tcW w:w="33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Componenta financiară – Prețul ofertei, fără TVA, pentru proiectare și execuție lucrări</w:t>
            </w:r>
          </w:p>
        </w:tc>
        <w:tc>
          <w:tcPr>
            <w:tcW w:w="30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25%</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Punctaj maxim factor: </w:t>
            </w:r>
            <w:r>
              <w:rPr>
                <w:rFonts w:ascii="Calibri" w:eastAsiaTheme="minorHAnsi" w:hAnsi="Calibri" w:cs="Calibri"/>
                <w:b/>
                <w:bCs/>
                <w:noProof w:val="0"/>
                <w:sz w:val="22"/>
                <w:szCs w:val="22"/>
                <w:lang w:eastAsia="en-US"/>
              </w:rPr>
              <w:t>25</w:t>
            </w:r>
          </w:p>
        </w:tc>
      </w:tr>
      <w:tr>
        <w:trPr>
          <w:trHeight w:val="375"/>
        </w:trP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Algoritm de calcul: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Punctajul se acordă astfel: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a) Pentru cel mai scazut dintre preturi se acorda punctajul maxim alocat;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b) Pentru celelalte preturi ofertate punctajul P(n) se calculeaza proportional, astfel: P(n) = (Pret minim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lastRenderedPageBreak/>
              <w:t>ofertat / Pret n) x punctaj maxim alocat.</w:t>
            </w:r>
          </w:p>
        </w:tc>
      </w:tr>
      <w:tr>
        <w:trPr>
          <w:trHeight w:val="375"/>
        </w:trPr>
        <w:tc>
          <w:tcPr>
            <w:tcW w:w="32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lastRenderedPageBreak/>
              <w:t>2. Cost serviciu de operare</w:t>
            </w:r>
          </w:p>
        </w:tc>
        <w:tc>
          <w:tcPr>
            <w:tcW w:w="33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Punctajul P2 aferent factorului de evaluare va fi obţinut prin însumarea punctajelor obţinute de oferta respectivă la fiecare din subfactorii menţionaţi mai jos:</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ofertat pentru tratarea mecano-biologică a deşeurilor reziduale, fără TVA;</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pentru tratarea biodeșeurilor colectate separat, fără TVA</w:t>
            </w:r>
          </w:p>
        </w:tc>
        <w:tc>
          <w:tcPr>
            <w:tcW w:w="30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45%</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Punctaj maxim factor: </w:t>
            </w:r>
            <w:r>
              <w:rPr>
                <w:rFonts w:ascii="Calibri" w:eastAsiaTheme="minorHAnsi" w:hAnsi="Calibri" w:cs="Calibri"/>
                <w:b/>
                <w:bCs/>
                <w:noProof w:val="0"/>
                <w:sz w:val="22"/>
                <w:szCs w:val="22"/>
                <w:lang w:eastAsia="en-US"/>
              </w:rPr>
              <w:t>45</w:t>
            </w:r>
          </w:p>
        </w:tc>
      </w:tr>
      <w:tr>
        <w:trPr>
          <w:trHeight w:val="375"/>
        </w:trP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Algoritm de calcul: Punctajul se acordă astfel:</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 Pentru cel mai scăzut tarif ofertat pentru tratarea mecano-biologică a deşeurilor reziduale se acordă punctajul maxim alocat subfactorului de evaluare, respectiv: 30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b) Pentru alt tarif decât cel prevăzut la pct.a), punctajul se acordă aplicând formula: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P2.1 = (tarif minim / tarif ofertat) x 30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unde: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minim" este tariful cel mai scăzut, dintre ofertele considerate admisibile;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ofertat" este tariful ofertei evaluate.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 Pentru cel mai scăzut tarif pentru tratarea bio-deșeurilor colectate separat se acordă punctajul maxim alocat subfactorului de evaluare respectiv: 15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 Pentru alt tarif decât cel prevăzut la pct.a), punctajul se acordă aplicând formula: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P2.2 = (tarif minim / tarif ofertat) x 15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unde: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minim" este tariful cel mai scăzut, dintre ofertele considerate admisibile;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„tarif ofertat" este tariful ofertei evaluate.</w:t>
            </w:r>
          </w:p>
        </w:tc>
      </w:tr>
      <w:tr>
        <w:trPr>
          <w:trHeight w:val="375"/>
        </w:trPr>
        <w:tc>
          <w:tcPr>
            <w:tcW w:w="324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3. Protecția mediului</w:t>
            </w:r>
          </w:p>
        </w:tc>
        <w:tc>
          <w:tcPr>
            <w:tcW w:w="33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Punctajul P3 aferent factorului de evaluare va fi obţinut prin însumarea punctajelor obţinute de oferta respectivă la fiecare din subfactorii menţionaţi mai jos (fiecare având alocat un număr de puncte):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de materiale eliminate prin depozitare;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de deşeuri reciclabile extrase, în vederea valorificării materiale, din deşeurile mixte;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Indice de generare a biogazului.</w:t>
            </w:r>
          </w:p>
        </w:tc>
        <w:tc>
          <w:tcPr>
            <w:tcW w:w="3095"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30%</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Punctaj maxim factor: </w:t>
            </w:r>
            <w:r>
              <w:rPr>
                <w:rFonts w:ascii="Calibri" w:eastAsiaTheme="minorHAnsi" w:hAnsi="Calibri" w:cs="Calibri"/>
                <w:b/>
                <w:bCs/>
                <w:noProof w:val="0"/>
                <w:sz w:val="22"/>
                <w:szCs w:val="22"/>
                <w:lang w:eastAsia="en-US"/>
              </w:rPr>
              <w:t>30</w:t>
            </w:r>
          </w:p>
        </w:tc>
      </w:tr>
      <w:tr>
        <w:trPr>
          <w:trHeight w:val="375"/>
        </w:trP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Algoritm de calcul: Punctajul se acorda astfel:</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 Pentru cea mai mică valoare ofertată pentru procentul de materiale eliminate prin depozitare se acordă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punctajul maxim alocat subfactorului respectiv: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Pentru alt procent decât cel prevăzut la pct.a), punctajul se acordă aplicând formula: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P3.1 = (procent minim / procent ofertat) x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unde: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minim" este procentul cel mai scăzut, dintre ofertele considerate admisibile;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ofertat" este procentul ofertei evaluate.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b) Pentru cea mai mare valoare ofertată pentru procentul de deşeuri reciclabile extrase, în vederea valorificării materiale, din deşeurile mixte se acordă punctajul maxim alocat subfactorului respectiv: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Pentru alt procent decât cel prevăzut la pct.b), punctajul se acordă aplicând formula: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lastRenderedPageBreak/>
              <w:t>P3.2 = (procent ofertat / procent maxim) x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unde: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maxim" este procentul cel mai ridicat, dintre ofertele considerate admisibile;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„procent ofertat" este procentul ofertei evaluate.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 Pentru cea mai mare valoare ofertată pentru indicele de generare a biogazului se acordă punctajul maxim alocat subfactorului respectiv: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Indicele ofertat se va stabili pornind de 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Cantitatea de deșeuri reziduale colectate și tratate în TMB (a se vedea Studiul de Fundamentare, sect. 3.1.1).</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Detalii privind compoziția estimată a deșeurilor (a se vedea Studiul de Fundamentare)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Pentru alt procent decât cel prevăzut la pct.e), punctajul se acordă aplicând formula: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P3.3 = (indice ofertat / indice maxim) x 10 puncte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unde: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„indice maxim" este indicele cel mai ridicat, dintre ofertele considerate admisibile;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„indice ofertat" este indicele ofertei evaluate.</w:t>
            </w:r>
          </w:p>
        </w:tc>
      </w:tr>
      <w:tr>
        <w:trPr>
          <w:trHeight w:val="375"/>
        </w:trP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lastRenderedPageBreak/>
              <w:t xml:space="preserve">Punctaj total: </w:t>
            </w:r>
            <w:r>
              <w:rPr>
                <w:rFonts w:ascii="Calibri" w:eastAsiaTheme="minorHAnsi" w:hAnsi="Calibri" w:cs="Calibri"/>
                <w:b/>
                <w:bCs/>
                <w:noProof w:val="0"/>
                <w:sz w:val="22"/>
                <w:szCs w:val="22"/>
                <w:lang w:eastAsia="en-US"/>
              </w:rPr>
              <w:t>100</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II.2.7 Durata contractului, concesiunii, a acordului-cadru sau a sistemului dinamic de achiziţii</w:t>
            </w:r>
          </w:p>
          <w:p>
            <w:pPr>
              <w:suppressAutoHyphens w:val="0"/>
              <w:autoSpaceDE w:val="0"/>
              <w:autoSpaceDN w:val="0"/>
              <w:adjustRightInd w:val="0"/>
              <w:jc w:val="both"/>
              <w:rPr>
                <w:rFonts w:ascii="Calibri" w:eastAsiaTheme="minorHAnsi" w:hAnsi="Calibri" w:cs="Calibri"/>
                <w:noProof w:val="0"/>
                <w:sz w:val="22"/>
                <w:szCs w:val="22"/>
                <w:lang w:eastAsia="en-US"/>
              </w:rPr>
            </w:pPr>
            <w:bookmarkStart w:id="4" w:name="_Hlk531606696"/>
            <w:bookmarkEnd w:id="4"/>
            <w:r>
              <w:rPr>
                <w:rFonts w:ascii="Calibri" w:eastAsiaTheme="minorHAnsi" w:hAnsi="Calibri" w:cs="Calibri"/>
                <w:noProof w:val="0"/>
                <w:sz w:val="22"/>
                <w:szCs w:val="22"/>
                <w:lang w:eastAsia="en-US"/>
              </w:rPr>
              <w:t xml:space="preserve">Durata în luni: </w:t>
            </w:r>
            <w:r>
              <w:rPr>
                <w:rFonts w:ascii="Calibri" w:eastAsiaTheme="minorHAnsi" w:hAnsi="Calibri" w:cs="Calibri"/>
                <w:b/>
                <w:bCs/>
                <w:noProof w:val="0"/>
                <w:sz w:val="22"/>
                <w:szCs w:val="22"/>
                <w:lang w:eastAsia="en-US"/>
              </w:rPr>
              <w:t>158</w:t>
            </w:r>
            <w:r>
              <w:rPr>
                <w:rFonts w:ascii="Calibri" w:eastAsiaTheme="minorHAnsi" w:hAnsi="Calibri" w:cs="Calibri"/>
                <w:noProof w:val="0"/>
                <w:sz w:val="22"/>
                <w:szCs w:val="22"/>
                <w:lang w:eastAsia="en-US"/>
              </w:rPr>
              <w:t>; Durata în zile :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Contractul se reînnoieşte: Nu</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II.2.10 Informaţii privind variantele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Vor fi acceptate variante: Nu</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II.2.11 Informaţii privind opţiunile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Opţiuni: Nu</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II.2.12 Informații privind cataloagele electronice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Ofertele trebuie să fie prezentate sub formă de cataloage electronice sau să includă un catalog electronic: Nu</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II.2.13 Informaţii despre fondurile Uniunii Europene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Achiziţia se referă la un proiect şi/său program finanţat din fonduri ale Uniunii Europene: Da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Identificarea proiectului: </w:t>
            </w:r>
            <w:bookmarkStart w:id="5" w:name="_Hlk193283236"/>
            <w:r>
              <w:rPr>
                <w:rFonts w:ascii="Calibri" w:eastAsiaTheme="minorHAnsi" w:hAnsi="Calibri" w:cs="Calibri"/>
                <w:noProof w:val="0"/>
                <w:sz w:val="22"/>
                <w:szCs w:val="22"/>
                <w:lang w:eastAsia="en-US"/>
              </w:rPr>
              <w:t>Programul de Dezvoltare Durabila 2021-2027</w:t>
            </w:r>
          </w:p>
          <w:bookmarkEnd w:id="5"/>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Tip de finanţare : Program / Proiect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Program/Proiect: Alte programe/proiecte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II.2.14 Informaţii suplimentare</w:t>
            </w:r>
          </w:p>
        </w:tc>
      </w:tr>
      <w:tr>
        <w:tc>
          <w:tcPr>
            <w:tcW w:w="9735"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highlight w:val="yellow"/>
                <w:lang w:eastAsia="en-US"/>
              </w:rPr>
            </w:pPr>
            <w:r>
              <w:rPr>
                <w:rFonts w:ascii="Calibri" w:eastAsiaTheme="minorHAnsi" w:hAnsi="Calibri" w:cs="Calibri"/>
                <w:noProof w:val="0"/>
                <w:sz w:val="22"/>
                <w:szCs w:val="22"/>
                <w:lang w:eastAsia="en-US"/>
              </w:rPr>
              <w:t>Achiziția contractului contribuie la îndeplinirea obiectivelor Proiectului „Sistem de Management Integrat al Deseurilor in judetul Galati – Etapa II″, cofinanțat prin Programul Dezvoltare Durabilă 2021-2027 - Prioritatea 1 - Dezvoltarea infrastructurii de apă și apă uzată și tranziția la o economie circulară, PDD/RSO 2.6. Promovarea tranziției la o economie circulară și eficientă din punctul de vedere al utilizării resurselor - Titlu apel: Îmbunătățirea modului de gestionare a deșeurilor municipale, consolidarea capacității instituționale a MMAP și sprijin pentru pregătirea portofoliului de proiecte – proiecte etapizate tip B1, B2 și B3, pentru care Autoritatea Contractantă a încheiat Contractul de Finanțare nr. 72/20.08.2024 cu Ministerul Investițiilor și Proiectelor Europene, în calitate de Autoritate de Management pentru Programul Dezvoltare Durabilă.</w:t>
            </w:r>
          </w:p>
        </w:tc>
      </w:tr>
    </w:tbl>
    <w:p>
      <w:pPr>
        <w:suppressAutoHyphens w:val="0"/>
        <w:autoSpaceDE w:val="0"/>
        <w:autoSpaceDN w:val="0"/>
        <w:adjustRightInd w:val="0"/>
        <w:jc w:val="both"/>
        <w:rPr>
          <w:rFonts w:ascii="Calibri" w:eastAsiaTheme="minorHAnsi" w:hAnsi="Calibri" w:cs="Calibri"/>
          <w:b/>
          <w:bCs/>
          <w:noProof w:val="0"/>
          <w:sz w:val="22"/>
          <w:szCs w:val="22"/>
          <w:shd w:val="clear" w:color="auto" w:fill="FFFF00"/>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II.3 AJUSTAREA PREȚULUI CONTRACTULUI</w:t>
      </w:r>
    </w:p>
    <w:tbl>
      <w:tblPr>
        <w:tblW w:w="9765" w:type="dxa"/>
        <w:tblLayout w:type="fixed"/>
        <w:tblCellMar>
          <w:left w:w="105" w:type="dxa"/>
          <w:right w:w="105" w:type="dxa"/>
        </w:tblCellMar>
        <w:tblLook w:val="0000" w:firstRow="0" w:lastRow="0" w:firstColumn="0" w:lastColumn="0" w:noHBand="0" w:noVBand="0"/>
      </w:tblPr>
      <w:tblGrid>
        <w:gridCol w:w="9765"/>
      </w:tblGrid>
      <w:tr>
        <w:tc>
          <w:tcPr>
            <w:tcW w:w="975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Contractul va fi ajustat dupa urmatoarea metoda :Ajustarea prețurilor se face diferit pentru etapa proiectare și execuție, respectiv pentru etapa operare.</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 xml:space="preserve">1. Pentru etapa proiectare și execuție, deoarece durata acesteia este mai mare de 365 zile, se consideră că preţurile din oferta operatorului au fost stabilite în baza condiţiilor de preţuri şi piaţă în vigoare la Data de Referinţă (data anterioară cu 30 de zile faţă de termenul-limită de depunere a Ofertelor, cf. HG nr. 1/2018) și sumele plătibile acestuia pentru proiectare și execuție vor fi ajustate pentru creşterea/diminuarea indicilor de preţ pentru elemente constitutive ale Ofertei, al căror efect se reflectă în creşterea/diminuarea </w:t>
            </w:r>
            <w:r>
              <w:rPr>
                <w:rFonts w:ascii="Calibri" w:hAnsi="Calibri" w:cs="Calibri"/>
                <w:sz w:val="22"/>
                <w:szCs w:val="22"/>
              </w:rPr>
              <w:lastRenderedPageBreak/>
              <w:t>costurilor pe baza cărora s-a fundamentat Preţul Contractului. Nu se va aplica nicio ajustare la lucrările evaluate pe baza Costului sau a preţurilor curente.</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Ajustarea va fi determinată conform art. 31 din O.G. 64/2022 și subclauzei 48.4 din Acordul Contractual.</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De asemenea, 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2. Pentru etapa operare, conform art 6 alin.(1) lit. l) din Legea 101/2006, ajustarea sau modificarea tarifelor se face in conformitate cu normele metodologice aprobate de ANRSC. Prin urmare, tarifele pot fi ajustate/modificate astfel:</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a) Ajustarea solicitată de Contractant va fi aprobată/ realizata de Autoritatea Contractantă pentru a se asigura corelarea nivelului tarifelor stabilite anterior cu evoluția generală a prețurilor și tarifelor din economie;</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b) Tarifele se ajustează periodic, în conformitate cu Normele metodologice aprobate prin Ordinul Președintelui ANRSC nr. 640/2022, art. 33;</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c) Modificarea tarifului poate fi solicitată de Contractant în condițille precizate în art. 36 din Normele metodologice aprobate prin Ordinul Președintelui ANRSC nr. 640/2022;</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d) Tarifele se pot ajusta, conform subclauzei 48.8, în baza cererilor de ajustare, însoțite de documentația de fundamentare a tarifelor, pe elemente de cheltuieli, cu respectarea condițiilor stabilite prin Lege și, în special, prin normele metodologice de stabilire, ajustare sau modificare a tarifelor pentru activitățile specifice serviciului de salubrizare a localităților, elaborate de Autoritatea de Reglementare.</w:t>
            </w:r>
          </w:p>
          <w:p>
            <w:pPr>
              <w:suppressAutoHyphens w:val="0"/>
              <w:autoSpaceDE w:val="0"/>
              <w:autoSpaceDN w:val="0"/>
              <w:adjustRightInd w:val="0"/>
              <w:jc w:val="both"/>
              <w:rPr>
                <w:rFonts w:ascii="Calibri" w:hAnsi="Calibri" w:cs="Calibri"/>
                <w:sz w:val="22"/>
                <w:szCs w:val="22"/>
              </w:rPr>
            </w:pPr>
            <w:r>
              <w:rPr>
                <w:rFonts w:ascii="Calibri" w:hAnsi="Calibri" w:cs="Calibri"/>
                <w:sz w:val="22"/>
                <w:szCs w:val="22"/>
              </w:rPr>
              <w:t>Ajustarea Tarifelor se face potrivit formulei din art. 34 alin (1) din Normele metodologice aprobate prin Ordinul Președintelui ANRSC nr. 640/2022.</w:t>
            </w:r>
          </w:p>
        </w:tc>
      </w:tr>
    </w:tbl>
    <w:p>
      <w:pPr>
        <w:suppressAutoHyphens w:val="0"/>
        <w:autoSpaceDE w:val="0"/>
        <w:autoSpaceDN w:val="0"/>
        <w:adjustRightInd w:val="0"/>
        <w:jc w:val="both"/>
        <w:rPr>
          <w:rFonts w:ascii="Calibri" w:eastAsiaTheme="minorHAnsi" w:hAnsi="Calibri" w:cs="Calibri"/>
          <w:b/>
          <w:bCs/>
          <w:noProof w:val="0"/>
          <w:sz w:val="22"/>
          <w:szCs w:val="22"/>
          <w:shd w:val="clear" w:color="auto" w:fill="FFFF00"/>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SECŢIUNEA III: INFORMAŢII JURIDICE, ECONOMICE, FINANCIARE și TEHNICE</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III.1 CONDIŢII DE PARTICIPARE</w:t>
      </w:r>
    </w:p>
    <w:tbl>
      <w:tblPr>
        <w:tblW w:w="9765" w:type="dxa"/>
        <w:tblLayout w:type="fixed"/>
        <w:tblCellMar>
          <w:left w:w="105" w:type="dxa"/>
          <w:right w:w="105" w:type="dxa"/>
        </w:tblCellMar>
        <w:tblLook w:val="0000" w:firstRow="0" w:lastRow="0" w:firstColumn="0" w:lastColumn="0" w:noHBand="0" w:noVBand="0"/>
      </w:tblPr>
      <w:tblGrid>
        <w:gridCol w:w="4747"/>
        <w:gridCol w:w="5018"/>
      </w:tblGrid>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bookmarkStart w:id="6" w:name="_Hlk531607730"/>
            <w:bookmarkEnd w:id="6"/>
            <w:r>
              <w:rPr>
                <w:rFonts w:ascii="Calibri" w:eastAsiaTheme="minorHAnsi" w:hAnsi="Calibri" w:cs="Calibri"/>
                <w:b/>
                <w:bCs/>
                <w:noProof w:val="0"/>
                <w:sz w:val="22"/>
                <w:szCs w:val="22"/>
                <w:lang w:eastAsia="en-US"/>
              </w:rPr>
              <w:t>III.1.1.a) Situaţia personală a candidatului sau ofertantului</w:t>
            </w:r>
          </w:p>
        </w:tc>
      </w:tr>
      <w:tr>
        <w:tc>
          <w:tcPr>
            <w:tcW w:w="9765" w:type="dxa"/>
            <w:gridSpan w:val="2"/>
            <w:tcBorders>
              <w:top w:val="single" w:sz="6" w:space="0" w:color="000000"/>
              <w:left w:val="single" w:sz="6" w:space="0" w:color="000000"/>
              <w:bottom w:val="single" w:sz="6" w:space="0" w:color="000000"/>
              <w:right w:val="single" w:sz="6" w:space="0" w:color="000000"/>
            </w:tcBorders>
          </w:tcPr>
          <w:p>
            <w:pPr>
              <w:jc w:val="both"/>
              <w:rPr>
                <w:rFonts w:ascii="Calibri" w:hAnsi="Calibri" w:cs="Calibri"/>
                <w:b/>
                <w:sz w:val="22"/>
                <w:szCs w:val="22"/>
                <w:lang w:eastAsia="ro-RO"/>
              </w:rPr>
            </w:pPr>
            <w:r>
              <w:rPr>
                <w:rFonts w:ascii="Calibri" w:hAnsi="Calibri" w:cs="Calibri"/>
                <w:b/>
                <w:sz w:val="22"/>
                <w:szCs w:val="22"/>
                <w:lang w:eastAsia="ro-RO"/>
              </w:rPr>
              <w:t>Informaţii şi formalităţi necesare pentru evaluarea respectării cerinţelor mentionate: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 xml:space="preserve">Cerința 1: </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Încadrarea in situaţiile prevăzute la art. 164 din Legea nr. 98/2016</w:t>
            </w:r>
          </w:p>
          <w:p>
            <w:pPr>
              <w:suppressAutoHyphens w:val="0"/>
              <w:jc w:val="both"/>
              <w:rPr>
                <w:rFonts w:ascii="Calibri" w:hAnsi="Calibri" w:cs="Calibri"/>
                <w:bCs/>
                <w:sz w:val="22"/>
                <w:szCs w:val="22"/>
              </w:rPr>
            </w:pPr>
            <w:r>
              <w:rPr>
                <w:rFonts w:ascii="Calibri" w:hAnsi="Calibri" w:cs="Calibri"/>
                <w:b/>
                <w:bCs/>
                <w:sz w:val="22"/>
                <w:szCs w:val="22"/>
              </w:rPr>
              <w:t xml:space="preserve">Descriere: </w:t>
            </w:r>
            <w:r>
              <w:rPr>
                <w:rFonts w:ascii="Calibri" w:hAnsi="Calibri" w:cs="Calibri"/>
                <w:bCs/>
                <w:sz w:val="22"/>
                <w:szCs w:val="22"/>
              </w:rPr>
              <w:t xml:space="preserve">Ofertanții, asociații, terții susținători și subcontractanții nu trebuie sa se regaseasca in situatiile prevazute la art. 164 alin. (1) și (2) din Legea nr. 98/2016 privind achizitiile sectoriale </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A „Motive referitoare la condamnarile penale”,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 xml:space="preserve">Cerința 2: </w:t>
            </w:r>
          </w:p>
          <w:p>
            <w:pPr>
              <w:suppressAutoHyphens w:val="0"/>
              <w:jc w:val="both"/>
              <w:rPr>
                <w:rFonts w:ascii="Calibri" w:hAnsi="Calibri" w:cs="Calibri"/>
                <w:b/>
                <w:bCs/>
                <w:sz w:val="22"/>
                <w:szCs w:val="22"/>
              </w:rPr>
            </w:pPr>
            <w:r>
              <w:rPr>
                <w:rFonts w:ascii="Calibri" w:hAnsi="Calibri" w:cs="Calibri"/>
                <w:b/>
                <w:bCs/>
                <w:sz w:val="22"/>
                <w:szCs w:val="22"/>
              </w:rPr>
              <w:t xml:space="preserve">Motiv excludere: </w:t>
            </w:r>
            <w:r>
              <w:rPr>
                <w:rFonts w:ascii="Calibri" w:hAnsi="Calibri" w:cs="Calibri"/>
                <w:bCs/>
                <w:sz w:val="22"/>
                <w:szCs w:val="22"/>
              </w:rPr>
              <w:t>Încadrarea in situaţiile prevăzute la art. 165 din Legea nr. 98/2016</w:t>
            </w:r>
          </w:p>
          <w:p>
            <w:pPr>
              <w:suppressAutoHyphens w:val="0"/>
              <w:jc w:val="both"/>
              <w:rPr>
                <w:rFonts w:ascii="Calibri" w:hAnsi="Calibri" w:cs="Calibri"/>
                <w:bCs/>
                <w:sz w:val="22"/>
                <w:szCs w:val="22"/>
              </w:rPr>
            </w:pPr>
            <w:r>
              <w:rPr>
                <w:rFonts w:ascii="Calibri" w:hAnsi="Calibri" w:cs="Calibri"/>
                <w:b/>
                <w:bCs/>
                <w:sz w:val="22"/>
                <w:szCs w:val="22"/>
              </w:rPr>
              <w:t xml:space="preserve">Descriere: </w:t>
            </w:r>
            <w:r>
              <w:rPr>
                <w:rFonts w:ascii="Calibri" w:hAnsi="Calibri" w:cs="Calibri"/>
                <w:bCs/>
                <w:sz w:val="22"/>
                <w:szCs w:val="22"/>
              </w:rPr>
              <w:t>Ofertanții, asociații, terții susținători și subcontractanții nu trebuie sa se regaseasca in situatiile prevazute la art. 165 alin. (1) din Legea nr. 98/2016 privind achizitiile sectoriale</w:t>
            </w:r>
          </w:p>
          <w:p>
            <w:pPr>
              <w:suppressAutoHyphens w:val="0"/>
              <w:jc w:val="both"/>
              <w:rPr>
                <w:rFonts w:ascii="Calibri" w:hAnsi="Calibri" w:cs="Calibri"/>
                <w:bCs/>
                <w:sz w:val="22"/>
                <w:szCs w:val="22"/>
              </w:rPr>
            </w:pPr>
            <w:r>
              <w:rPr>
                <w:rFonts w:ascii="Calibri" w:hAnsi="Calibri" w:cs="Calibri"/>
                <w:bCs/>
                <w:sz w:val="22"/>
                <w:szCs w:val="22"/>
              </w:rPr>
              <w:t>NOTE:</w:t>
            </w:r>
          </w:p>
          <w:p>
            <w:pPr>
              <w:suppressAutoHyphens w:val="0"/>
              <w:jc w:val="both"/>
              <w:rPr>
                <w:rFonts w:ascii="Calibri" w:hAnsi="Calibri" w:cs="Calibri"/>
                <w:bCs/>
                <w:sz w:val="22"/>
                <w:szCs w:val="22"/>
              </w:rPr>
            </w:pPr>
            <w:r>
              <w:rPr>
                <w:rFonts w:ascii="Calibri" w:hAnsi="Calibri" w:cs="Calibri"/>
                <w:bCs/>
                <w:sz w:val="22"/>
                <w:szCs w:val="22"/>
              </w:rPr>
              <w:t>1. Entitatea contractanta va tine cont de prvederile Art. 165, alin (1), alin (2) și alin.(3)  din Legea nr. 98/2016 modificata și completata de OG 3/2021.</w:t>
            </w:r>
          </w:p>
          <w:p>
            <w:pPr>
              <w:suppressAutoHyphens w:val="0"/>
              <w:jc w:val="both"/>
              <w:rPr>
                <w:rFonts w:ascii="Calibri" w:hAnsi="Calibri" w:cs="Calibri"/>
                <w:bCs/>
                <w:sz w:val="22"/>
                <w:szCs w:val="22"/>
              </w:rPr>
            </w:pPr>
            <w:r>
              <w:rPr>
                <w:rFonts w:ascii="Calibri" w:hAnsi="Calibri" w:cs="Calibri"/>
                <w:bCs/>
                <w:sz w:val="22"/>
                <w:szCs w:val="22"/>
              </w:rPr>
              <w:t>2. Operatorul economic nu este exclus din procedura de atribuire atunci când cuantumul impozitelor, taxelor și contribuţiilor la bugetul general consolidat datorate și restante este mai mic de 10.000 lei.</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B "Motive legate de plata impozitelor sau a contributiilor la asigurarile sociale", cu informațiile aferente situației sale</w:t>
            </w:r>
          </w:p>
          <w:p>
            <w:pPr>
              <w:suppressAutoHyphens w:val="0"/>
              <w:jc w:val="both"/>
              <w:rPr>
                <w:rFonts w:ascii="Calibri" w:hAnsi="Calibri" w:cs="Calibri"/>
                <w:b/>
                <w:bCs/>
                <w:i/>
                <w:iCs/>
                <w:sz w:val="22"/>
                <w:szCs w:val="22"/>
              </w:rPr>
            </w:pPr>
          </w:p>
          <w:p>
            <w:pPr>
              <w:suppressAutoHyphens w:val="0"/>
              <w:jc w:val="both"/>
              <w:rPr>
                <w:rFonts w:ascii="Calibri" w:hAnsi="Calibri" w:cs="Calibri"/>
                <w:b/>
                <w:bCs/>
                <w:sz w:val="22"/>
                <w:szCs w:val="22"/>
              </w:rPr>
            </w:pPr>
            <w:r>
              <w:rPr>
                <w:rFonts w:ascii="Calibri" w:hAnsi="Calibri" w:cs="Calibri"/>
                <w:b/>
                <w:bCs/>
                <w:sz w:val="22"/>
                <w:szCs w:val="22"/>
              </w:rPr>
              <w:lastRenderedPageBreak/>
              <w:t xml:space="preserve">Cerința 3: </w:t>
            </w:r>
          </w:p>
          <w:p>
            <w:pPr>
              <w:suppressAutoHyphens w:val="0"/>
              <w:jc w:val="both"/>
              <w:rPr>
                <w:rFonts w:ascii="Calibri" w:hAnsi="Calibri" w:cs="Calibri"/>
                <w:b/>
                <w:bCs/>
                <w:sz w:val="22"/>
                <w:szCs w:val="22"/>
              </w:rPr>
            </w:pPr>
            <w:r>
              <w:rPr>
                <w:rFonts w:ascii="Calibri" w:hAnsi="Calibri" w:cs="Calibri"/>
                <w:b/>
                <w:bCs/>
                <w:sz w:val="22"/>
                <w:szCs w:val="22"/>
              </w:rPr>
              <w:t xml:space="preserve">Motiv excludere: </w:t>
            </w:r>
            <w:r>
              <w:rPr>
                <w:rFonts w:ascii="Calibri" w:hAnsi="Calibri" w:cs="Calibri"/>
                <w:bCs/>
                <w:sz w:val="22"/>
                <w:szCs w:val="22"/>
              </w:rPr>
              <w:t>Încadrarea in situaţiile prevăzute la art. 167 din Legea nr. 98/2016</w:t>
            </w:r>
          </w:p>
          <w:p>
            <w:pPr>
              <w:suppressAutoHyphens w:val="0"/>
              <w:jc w:val="both"/>
              <w:rPr>
                <w:rFonts w:ascii="Calibri" w:hAnsi="Calibri" w:cs="Calibri"/>
                <w:bCs/>
                <w:sz w:val="22"/>
                <w:szCs w:val="22"/>
              </w:rPr>
            </w:pPr>
            <w:r>
              <w:rPr>
                <w:rFonts w:ascii="Calibri" w:hAnsi="Calibri" w:cs="Calibri"/>
                <w:b/>
                <w:bCs/>
                <w:sz w:val="22"/>
                <w:szCs w:val="22"/>
              </w:rPr>
              <w:t xml:space="preserve">Descriere: </w:t>
            </w:r>
            <w:r>
              <w:rPr>
                <w:rFonts w:ascii="Calibri" w:hAnsi="Calibri" w:cs="Calibri"/>
                <w:bCs/>
                <w:sz w:val="22"/>
                <w:szCs w:val="22"/>
              </w:rPr>
              <w:t>Ofertanții, asociații, terții susținători și subcontractanții nu trebuie sa se regaseasca in situatiile prevazute la art. 167 alin. (1) din Legea nr. 98/2016 privind achizitiile sectoriale</w:t>
            </w:r>
          </w:p>
          <w:p>
            <w:pPr>
              <w:suppressAutoHyphens w:val="0"/>
              <w:jc w:val="both"/>
              <w:rPr>
                <w:rFonts w:ascii="Calibri" w:hAnsi="Calibri" w:cs="Calibri"/>
                <w:bCs/>
                <w:sz w:val="22"/>
                <w:szCs w:val="22"/>
              </w:rPr>
            </w:pPr>
            <w:r>
              <w:rPr>
                <w:rFonts w:ascii="Calibri" w:hAnsi="Calibri" w:cs="Calibri"/>
                <w:bCs/>
                <w:sz w:val="22"/>
                <w:szCs w:val="22"/>
              </w:rPr>
              <w:t xml:space="preserve">NOTE: </w:t>
            </w:r>
          </w:p>
          <w:p>
            <w:pPr>
              <w:suppressAutoHyphens w:val="0"/>
              <w:jc w:val="both"/>
              <w:rPr>
                <w:rFonts w:ascii="Calibri" w:hAnsi="Calibri" w:cs="Calibri"/>
                <w:bCs/>
                <w:sz w:val="22"/>
                <w:szCs w:val="22"/>
              </w:rPr>
            </w:pPr>
            <w:r>
              <w:rPr>
                <w:rFonts w:ascii="Calibri" w:hAnsi="Calibri" w:cs="Calibri"/>
                <w:bCs/>
                <w:sz w:val="22"/>
                <w:szCs w:val="22"/>
              </w:rPr>
              <w:t>1: Entitatea contractanta va tine cont de prevederile art. 167 alin (2) și (3) din Legea 98/2016.</w:t>
            </w:r>
          </w:p>
          <w:p>
            <w:pPr>
              <w:suppressAutoHyphens w:val="0"/>
              <w:jc w:val="both"/>
              <w:rPr>
                <w:rFonts w:ascii="Calibri" w:hAnsi="Calibri" w:cs="Calibri"/>
                <w:bCs/>
                <w:sz w:val="22"/>
                <w:szCs w:val="22"/>
              </w:rPr>
            </w:pPr>
            <w:r>
              <w:rPr>
                <w:rFonts w:ascii="Calibri" w:hAnsi="Calibri" w:cs="Calibri"/>
                <w:bCs/>
                <w:sz w:val="22"/>
                <w:szCs w:val="22"/>
              </w:rPr>
              <w:t xml:space="preserve">2: Entitatea contractanta va exclude un operator economic in orice moment al procedurii de atribuire in care ia la cunostinta ca operatorul economic se afla, având in vedere actiunile sau inactiunile savârsite inainte sau in cursul procedurii, in una dintre situatiile prevazute la art. 165,165,167 din Legea 98/2016, de natura sa atraga excluderea din procedura de atribuire. </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4:</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Încălcarea obligațiilor în domeniul legislației de mediu</w:t>
            </w:r>
          </w:p>
          <w:p>
            <w:pPr>
              <w:suppressAutoHyphens w:val="0"/>
              <w:jc w:val="both"/>
              <w:rPr>
                <w:rFonts w:ascii="Calibri" w:hAnsi="Calibri" w:cs="Calibri"/>
                <w:bCs/>
                <w:sz w:val="22"/>
                <w:szCs w:val="22"/>
              </w:rPr>
            </w:pPr>
            <w:r>
              <w:rPr>
                <w:rFonts w:ascii="Calibri" w:hAnsi="Calibri" w:cs="Calibri"/>
                <w:b/>
                <w:bCs/>
                <w:sz w:val="22"/>
                <w:szCs w:val="22"/>
              </w:rPr>
              <w:t xml:space="preserve">Descriere: </w:t>
            </w:r>
            <w:r>
              <w:rPr>
                <w:rFonts w:ascii="Calibri" w:hAnsi="Calibri" w:cs="Calibri"/>
                <w:bCs/>
                <w:sz w:val="22"/>
                <w:szCs w:val="22"/>
              </w:rPr>
              <w:t>Ofertanții, asociații, terții susținători și subcontractanții nu trebuie să se regăsească în situația prevăzută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5:</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 xml:space="preserve">Încălcarea obligațiilor în domeniul legislației sociale </w:t>
            </w:r>
          </w:p>
          <w:p>
            <w:pPr>
              <w:suppressAutoHyphens w:val="0"/>
              <w:jc w:val="both"/>
              <w:rPr>
                <w:rFonts w:ascii="Calibri" w:hAnsi="Calibri" w:cs="Calibri"/>
                <w:bCs/>
                <w:sz w:val="22"/>
                <w:szCs w:val="22"/>
              </w:rPr>
            </w:pPr>
            <w:r>
              <w:rPr>
                <w:rFonts w:ascii="Calibri" w:hAnsi="Calibri" w:cs="Calibri"/>
                <w:b/>
                <w:bCs/>
                <w:sz w:val="22"/>
                <w:szCs w:val="22"/>
              </w:rPr>
              <w:t xml:space="preserve">Descriere: </w:t>
            </w:r>
            <w:r>
              <w:rPr>
                <w:rFonts w:ascii="Calibri" w:hAnsi="Calibri" w:cs="Calibri"/>
                <w:bCs/>
                <w:sz w:val="22"/>
                <w:szCs w:val="22"/>
              </w:rPr>
              <w:t>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6:</w:t>
            </w:r>
          </w:p>
          <w:p>
            <w:pPr>
              <w:suppressAutoHyphens w:val="0"/>
              <w:jc w:val="both"/>
              <w:rPr>
                <w:rFonts w:ascii="Calibri" w:hAnsi="Calibri" w:cs="Calibri"/>
                <w:bCs/>
                <w:sz w:val="22"/>
                <w:szCs w:val="22"/>
              </w:rPr>
            </w:pPr>
            <w:r>
              <w:rPr>
                <w:rFonts w:ascii="Calibri" w:hAnsi="Calibri" w:cs="Calibri"/>
                <w:b/>
                <w:bCs/>
                <w:sz w:val="22"/>
                <w:szCs w:val="22"/>
              </w:rPr>
              <w:t>Motiv excludere:</w:t>
            </w:r>
            <w:r>
              <w:rPr>
                <w:rFonts w:ascii="Calibri" w:hAnsi="Calibri" w:cs="Calibri"/>
                <w:bCs/>
                <w:sz w:val="22"/>
                <w:szCs w:val="22"/>
              </w:rPr>
              <w:t xml:space="preserve"> Încălcarea obligațiilor în domeniul legislației muncii</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7:</w:t>
            </w:r>
          </w:p>
          <w:p>
            <w:pPr>
              <w:suppressAutoHyphens w:val="0"/>
              <w:jc w:val="both"/>
              <w:rPr>
                <w:rFonts w:ascii="Calibri" w:hAnsi="Calibri" w:cs="Calibri"/>
                <w:bCs/>
                <w:sz w:val="22"/>
                <w:szCs w:val="22"/>
              </w:rPr>
            </w:pPr>
            <w:r>
              <w:rPr>
                <w:rFonts w:ascii="Calibri" w:hAnsi="Calibri" w:cs="Calibri"/>
                <w:b/>
                <w:bCs/>
                <w:sz w:val="22"/>
                <w:szCs w:val="22"/>
              </w:rPr>
              <w:t>Motiv excludere:</w:t>
            </w:r>
            <w:r>
              <w:rPr>
                <w:rFonts w:ascii="Calibri" w:hAnsi="Calibri" w:cs="Calibri"/>
                <w:bCs/>
                <w:sz w:val="22"/>
                <w:szCs w:val="22"/>
              </w:rPr>
              <w:t xml:space="preserve"> Faliment</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8:</w:t>
            </w:r>
          </w:p>
          <w:p>
            <w:pPr>
              <w:suppressAutoHyphens w:val="0"/>
              <w:jc w:val="both"/>
              <w:rPr>
                <w:rFonts w:ascii="Calibri" w:hAnsi="Calibri" w:cs="Calibri"/>
                <w:bCs/>
                <w:sz w:val="22"/>
                <w:szCs w:val="22"/>
              </w:rPr>
            </w:pPr>
            <w:r>
              <w:rPr>
                <w:rFonts w:ascii="Calibri" w:hAnsi="Calibri" w:cs="Calibri"/>
                <w:b/>
                <w:bCs/>
                <w:sz w:val="22"/>
                <w:szCs w:val="22"/>
              </w:rPr>
              <w:lastRenderedPageBreak/>
              <w:t>Motiv excludere:</w:t>
            </w:r>
            <w:r>
              <w:rPr>
                <w:rFonts w:ascii="Calibri" w:hAnsi="Calibri" w:cs="Calibri"/>
                <w:bCs/>
                <w:sz w:val="22"/>
                <w:szCs w:val="22"/>
              </w:rPr>
              <w:t xml:space="preserve"> Insolvență</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9:</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Concordat</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10:</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Situații similare, în temeiul legislației naționale, cum ar fi falimentul</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11:</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Active administrate de lichidator</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12:</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Activitățile economice sunt suspendate</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13:</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Abaterea profesională gravă</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 xml:space="preserve">Cerința 14: </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Acorduri cu alți operatori economici care vizează denaturarea concurenței</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15:</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Conflict de interese care decurge din participarea la procedura de achiziții publice</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Ofertanții în nume propriu sau în asociere, terții susținători și subcontractantii nu trebuie să se regăsească în situațiile de conflict de interese prevăzute la art. 59 si 60 alin. (1)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și prezenta Formularul nr. 5 - Declarație privind neîncadrarea în prev. art. 59 și 60 alin. (1) din Legea nr. 98/2016</w:t>
            </w:r>
          </w:p>
          <w:p>
            <w:pPr>
              <w:suppressAutoHyphens w:val="0"/>
              <w:jc w:val="both"/>
              <w:rPr>
                <w:rFonts w:ascii="Calibri" w:hAnsi="Calibri" w:cs="Calibri"/>
                <w:bCs/>
                <w:sz w:val="22"/>
                <w:szCs w:val="22"/>
              </w:rPr>
            </w:pPr>
            <w:r>
              <w:rPr>
                <w:rFonts w:ascii="Calibri" w:hAnsi="Calibri" w:cs="Calibri"/>
                <w:bCs/>
                <w:sz w:val="22"/>
                <w:szCs w:val="22"/>
              </w:rPr>
              <w:t>Persoanele cu functie de decizie din cadrul autoritatii contractante, in ceea ce priveste organizarea, derularea si finalizarea procedurii de atribuire, sunt: FOTEA Costel - Presedinte, CUCU Doina - Vicepresedinte, Mitica SANDU - Vicepresedinte, Camelia EPURE (Administrator Public), SIMION Paula Elena (Sef Serviciu Licitatii), STOICA George (Director executiv Directia economie si finante), Radu MACIUCA (Director Directia Tehnica), Andreea Noemi ILIE (consilier Serviciul Licitatii), Carmen Daniela BOTEZ (consilier Serviciul Licitatii), CHIRIAC Florina Roxana (consilier Serviciul Licitatii) si consilierii judeteni-membri ai comisiei buget-finante din cadrul Consiliului Judetean Galati: STAN Ionel, GROSU Elena, CHIRIAC Elena Corina, PATEA Carmen, GHIORGHE Aurelian-Cristinel, DIMA Cristian, TONIŢĂ Marian.</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16:</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Implicare directă sau indirectă în pregătirea acestei proceduri de achiziții publice</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r>
              <w:rPr>
                <w:rFonts w:ascii="Calibri" w:hAnsi="Calibri" w:cs="Calibri"/>
                <w:bCs/>
                <w:sz w:val="22"/>
                <w:szCs w:val="22"/>
              </w:rPr>
              <w:t>Persoanele cu functie de decizie din cadrul autoritatii contractante, in ceea ce priveste organizarea, derularea si finalizarea procedurii de atribuire, sunt: FOTEA Costel - Presedinte, CUCU Doina - Vicepresedinte, Mitica SANDU - Vicepresedinte, Camelia EPURE (Administrator Public), SIMION Paula Elena (Sef Serviciu Licitatii), STOICA George (Director executiv Directia economie si finante), Radu MACIUCA (Director Directia Tehnica), Andreea Noemi ILIE (consilier Serviciul Licitatii), Carmen Daniela BOTEZ (consilier Serviciul Licitatii), CHIRIAC Florina Roxana (consilier Serviciul Licitatii) si consilierii judeteni-membri ai comisiei buget-finante din cadrul Consiliului Judetean Galati: STAN Ionel, GROSU Elena, CHIRIAC Elena Corina, PATEA Carmen, GHIORGHE Aurelian-Cristinel, DIMA Cristian, TONIŢĂ Marian.</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17:</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Încetare anticipată, daune-interese sau alte sancțiuni comparabile</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lastRenderedPageBreak/>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Cs/>
                <w:sz w:val="22"/>
                <w:szCs w:val="22"/>
              </w:rPr>
            </w:pPr>
          </w:p>
          <w:p>
            <w:pPr>
              <w:suppressAutoHyphens w:val="0"/>
              <w:jc w:val="both"/>
              <w:rPr>
                <w:rFonts w:ascii="Calibri" w:hAnsi="Calibri" w:cs="Calibri"/>
                <w:b/>
                <w:bCs/>
                <w:sz w:val="22"/>
                <w:szCs w:val="22"/>
              </w:rPr>
            </w:pPr>
            <w:r>
              <w:rPr>
                <w:rFonts w:ascii="Calibri" w:hAnsi="Calibri" w:cs="Calibri"/>
                <w:b/>
                <w:bCs/>
                <w:sz w:val="22"/>
                <w:szCs w:val="22"/>
              </w:rPr>
              <w:t>Cerința 18:</w:t>
            </w:r>
          </w:p>
          <w:p>
            <w:pPr>
              <w:suppressAutoHyphens w:val="0"/>
              <w:jc w:val="both"/>
              <w:rPr>
                <w:rFonts w:ascii="Calibri" w:hAnsi="Calibri" w:cs="Calibri"/>
                <w:bCs/>
                <w:sz w:val="22"/>
                <w:szCs w:val="22"/>
              </w:rPr>
            </w:pPr>
            <w:r>
              <w:rPr>
                <w:rFonts w:ascii="Calibri" w:hAnsi="Calibri" w:cs="Calibri"/>
                <w:b/>
                <w:bCs/>
                <w:sz w:val="22"/>
                <w:szCs w:val="22"/>
              </w:rPr>
              <w:t xml:space="preserve">Motiv excludere: </w:t>
            </w:r>
            <w:r>
              <w:rPr>
                <w:rFonts w:ascii="Calibri" w:hAnsi="Calibri" w:cs="Calibri"/>
                <w:bCs/>
                <w:sz w:val="22"/>
                <w:szCs w:val="22"/>
              </w:rPr>
              <w:t>Au fost găsiți vinovați de fals în declarații, au divulgat informații, nu au putut furniza documentele necesare și au obținut informații confidențiale ale acestei proceduri</w:t>
            </w:r>
          </w:p>
          <w:p>
            <w:pPr>
              <w:suppressAutoHyphens w:val="0"/>
              <w:jc w:val="both"/>
              <w:rPr>
                <w:rFonts w:ascii="Calibri" w:hAnsi="Calibri" w:cs="Calibri"/>
                <w:bCs/>
                <w:sz w:val="22"/>
                <w:szCs w:val="22"/>
              </w:rPr>
            </w:pPr>
            <w:r>
              <w:rPr>
                <w:rFonts w:ascii="Calibri" w:hAnsi="Calibri" w:cs="Calibri"/>
                <w:b/>
                <w:bCs/>
                <w:sz w:val="22"/>
                <w:szCs w:val="22"/>
              </w:rPr>
              <w:t>Descriere:</w:t>
            </w:r>
            <w:r>
              <w:rPr>
                <w:rFonts w:ascii="Calibri" w:hAnsi="Calibri" w:cs="Calibri"/>
                <w:bCs/>
                <w:sz w:val="22"/>
                <w:szCs w:val="22"/>
              </w:rPr>
              <w:t xml:space="preserve"> Ofertanții, asociații, terții susținători și subcontractanții nu trebuie să se regăsească în situațiile prevăzute la art. 167 din Legea nr. 98/2016.</w:t>
            </w:r>
          </w:p>
          <w:p>
            <w:pPr>
              <w:suppressAutoHyphens w:val="0"/>
              <w:jc w:val="both"/>
              <w:rPr>
                <w:rFonts w:ascii="Calibri" w:hAnsi="Calibri" w:cs="Calibri"/>
                <w:bCs/>
                <w:sz w:val="22"/>
                <w:szCs w:val="22"/>
              </w:rPr>
            </w:pPr>
            <w:r>
              <w:rPr>
                <w:rFonts w:ascii="Calibri" w:hAnsi="Calibri" w:cs="Calibri"/>
                <w:bCs/>
                <w:i/>
                <w:sz w:val="22"/>
                <w:szCs w:val="22"/>
              </w:rPr>
              <w:t>Modalitatea de indeplinire</w:t>
            </w:r>
            <w:r>
              <w:rPr>
                <w:rFonts w:ascii="Calibri" w:hAnsi="Calibri" w:cs="Calibri"/>
                <w:bCs/>
                <w:sz w:val="22"/>
                <w:szCs w:val="22"/>
              </w:rPr>
              <w:t xml:space="preserve">: </w:t>
            </w:r>
          </w:p>
          <w:p>
            <w:pPr>
              <w:numPr>
                <w:ilvl w:val="0"/>
                <w:numId w:val="31"/>
              </w:numPr>
              <w:suppressAutoHyphens w:val="0"/>
              <w:jc w:val="both"/>
              <w:rPr>
                <w:rFonts w:ascii="Calibri" w:hAnsi="Calibri" w:cs="Calibri"/>
                <w:bCs/>
                <w:sz w:val="22"/>
                <w:szCs w:val="22"/>
              </w:rPr>
            </w:pPr>
            <w:r>
              <w:rPr>
                <w:rFonts w:ascii="Calibri" w:hAnsi="Calibri" w:cs="Calibri"/>
                <w:bCs/>
                <w:sz w:val="22"/>
                <w:szCs w:val="22"/>
              </w:rPr>
              <w:t>Fiecare ofertant, asociat, terț susținător, subcontractant va completa DUAE - Partea III: Motive de excludere, secțiunea C „Motive legate de insolvență, conflict de interese sau abateri profesionale”, cu informațiile aferente situației sale</w:t>
            </w:r>
          </w:p>
          <w:p>
            <w:pPr>
              <w:suppressAutoHyphens w:val="0"/>
              <w:jc w:val="both"/>
              <w:rPr>
                <w:rFonts w:ascii="Calibri" w:hAnsi="Calibri" w:cs="Calibri"/>
                <w:b/>
                <w:bCs/>
                <w:sz w:val="22"/>
                <w:szCs w:val="22"/>
              </w:rPr>
            </w:pPr>
          </w:p>
          <w:p>
            <w:pPr>
              <w:suppressAutoHyphens w:val="0"/>
              <w:jc w:val="both"/>
              <w:rPr>
                <w:rFonts w:ascii="Calibri" w:hAnsi="Calibri" w:cs="Calibri"/>
                <w:bCs/>
                <w:sz w:val="22"/>
                <w:szCs w:val="22"/>
              </w:rPr>
            </w:pPr>
            <w:r>
              <w:rPr>
                <w:rFonts w:ascii="Calibri" w:hAnsi="Calibri" w:cs="Calibri"/>
                <w:bCs/>
                <w:sz w:val="22"/>
                <w:szCs w:val="22"/>
              </w:rPr>
              <w:t>Inainte de atribuirea contractului, Ofertantul clasat pe primul loc dupa aplicarea criteriului de atribuire va prezenta, la solicitarea Entitatii Contractante, următoarele documente justificative actualizate, prin care să demonstreze îndeplinirea tuturor cerințelor de calificare de mai sus, în conformitate cu informatiile cuprinse în DUAE, atât pentru ofertantul unic/ofertantul asociat, cât și pentru fiecare subcontractant/terț susținător declarat în ofertă.</w:t>
            </w:r>
          </w:p>
          <w:p>
            <w:pPr>
              <w:numPr>
                <w:ilvl w:val="0"/>
                <w:numId w:val="33"/>
              </w:numPr>
              <w:suppressAutoHyphens w:val="0"/>
              <w:jc w:val="both"/>
              <w:rPr>
                <w:rFonts w:ascii="Calibri" w:hAnsi="Calibri" w:cs="Calibri"/>
                <w:bCs/>
                <w:sz w:val="22"/>
                <w:szCs w:val="22"/>
              </w:rPr>
            </w:pPr>
            <w:r>
              <w:rPr>
                <w:rFonts w:ascii="Calibri" w:hAnsi="Calibri" w:cs="Calibri"/>
                <w:bCs/>
                <w:sz w:val="22"/>
                <w:szCs w:val="22"/>
              </w:rPr>
              <w:t xml:space="preserve">documente edificatoare care probeaza/ confirma neincadrarea in situatiile prevazute la art. 164 din Legea 98/2016: </w:t>
            </w:r>
          </w:p>
          <w:p>
            <w:pPr>
              <w:numPr>
                <w:ilvl w:val="0"/>
                <w:numId w:val="34"/>
              </w:numPr>
              <w:suppressAutoHyphens w:val="0"/>
              <w:jc w:val="both"/>
              <w:rPr>
                <w:rFonts w:ascii="Calibri" w:hAnsi="Calibri" w:cs="Calibri"/>
                <w:bCs/>
                <w:sz w:val="22"/>
                <w:szCs w:val="22"/>
              </w:rPr>
            </w:pPr>
            <w:r>
              <w:rPr>
                <w:rFonts w:ascii="Calibri" w:hAnsi="Calibri" w:cs="Calibri"/>
                <w:bCs/>
                <w:sz w:val="22"/>
                <w:szCs w:val="22"/>
              </w:rPr>
              <w:t xml:space="preserve">Cazierul judiciar al operatorului economic </w:t>
            </w:r>
          </w:p>
          <w:p>
            <w:pPr>
              <w:numPr>
                <w:ilvl w:val="0"/>
                <w:numId w:val="34"/>
              </w:numPr>
              <w:suppressAutoHyphens w:val="0"/>
              <w:jc w:val="both"/>
              <w:rPr>
                <w:rFonts w:ascii="Calibri" w:hAnsi="Calibri" w:cs="Calibri"/>
                <w:bCs/>
                <w:sz w:val="22"/>
                <w:szCs w:val="22"/>
              </w:rPr>
            </w:pPr>
            <w:r>
              <w:rPr>
                <w:rFonts w:ascii="Calibri" w:hAnsi="Calibri" w:cs="Calibri"/>
                <w:bCs/>
                <w:sz w:val="22"/>
                <w:szCs w:val="22"/>
              </w:rPr>
              <w:t>Cazierul judiciar al persoanelor care sunt membri ai organului de administrare, de conducere sau de supraveghere al respectivului operator economic sau au putere de reprezentare, de decizie sau de control în cadrul acestuia, asa cum rezulta din certificatul constatator emis de ONRC / actul constitutiv</w:t>
            </w:r>
          </w:p>
          <w:p>
            <w:pPr>
              <w:numPr>
                <w:ilvl w:val="0"/>
                <w:numId w:val="34"/>
              </w:numPr>
              <w:suppressAutoHyphens w:val="0"/>
              <w:jc w:val="both"/>
              <w:rPr>
                <w:rFonts w:ascii="Calibri" w:hAnsi="Calibri" w:cs="Calibri"/>
                <w:b/>
                <w:bCs/>
                <w:sz w:val="22"/>
                <w:szCs w:val="22"/>
              </w:rPr>
            </w:pPr>
            <w:r>
              <w:rPr>
                <w:rFonts w:ascii="Calibri" w:hAnsi="Calibri" w:cs="Calibri"/>
                <w:bCs/>
                <w:sz w:val="22"/>
                <w:szCs w:val="22"/>
              </w:rPr>
              <w:t>alte documente edificatoare, după caz.</w:t>
            </w:r>
          </w:p>
          <w:p>
            <w:pPr>
              <w:suppressAutoHyphens w:val="0"/>
              <w:jc w:val="both"/>
              <w:rPr>
                <w:rFonts w:ascii="Calibri" w:hAnsi="Calibri" w:cs="Calibri"/>
                <w:b/>
                <w:bCs/>
                <w:sz w:val="22"/>
                <w:szCs w:val="22"/>
              </w:rPr>
            </w:pPr>
          </w:p>
          <w:p>
            <w:pPr>
              <w:numPr>
                <w:ilvl w:val="0"/>
                <w:numId w:val="33"/>
              </w:numPr>
              <w:suppressAutoHyphens w:val="0"/>
              <w:jc w:val="both"/>
              <w:rPr>
                <w:rFonts w:ascii="Calibri" w:hAnsi="Calibri" w:cs="Calibri"/>
                <w:bCs/>
                <w:sz w:val="22"/>
                <w:szCs w:val="22"/>
              </w:rPr>
            </w:pPr>
            <w:r>
              <w:rPr>
                <w:rFonts w:ascii="Calibri" w:hAnsi="Calibri" w:cs="Calibri"/>
                <w:bCs/>
                <w:sz w:val="22"/>
                <w:szCs w:val="22"/>
              </w:rPr>
              <w:t xml:space="preserve">documente edificatoare care probeaza/ confirma neincadrarea in situatiile prevazute la art. 165 din Legea 98/2016: </w:t>
            </w:r>
          </w:p>
          <w:p>
            <w:pPr>
              <w:numPr>
                <w:ilvl w:val="0"/>
                <w:numId w:val="34"/>
              </w:numPr>
              <w:suppressAutoHyphens w:val="0"/>
              <w:jc w:val="both"/>
              <w:rPr>
                <w:rFonts w:ascii="Calibri" w:hAnsi="Calibri" w:cs="Calibri"/>
                <w:bCs/>
                <w:sz w:val="22"/>
                <w:szCs w:val="22"/>
              </w:rPr>
            </w:pPr>
            <w:r>
              <w:rPr>
                <w:rFonts w:ascii="Calibri" w:hAnsi="Calibri" w:cs="Calibri"/>
                <w:b/>
                <w:bCs/>
                <w:sz w:val="22"/>
                <w:szCs w:val="22"/>
              </w:rPr>
              <w:t>Persoanele juridice române</w:t>
            </w:r>
            <w:r>
              <w:rPr>
                <w:rFonts w:ascii="Calibri" w:hAnsi="Calibri" w:cs="Calibri"/>
                <w:bCs/>
                <w:sz w:val="22"/>
                <w:szCs w:val="22"/>
              </w:rPr>
              <w:t xml:space="preserve"> vor prezenta certificat de atestare fiscală cu situaţia obligaţiilor de plată către bugetul general consolidat, eliberat de ANAF, şi certificat de atestare fiscală privind situaţia obligaţiilor de plată către bugetul local, din care sa reiasa lipsa datoriilor restante, la momentul prezentarii acestora. Certificatele vor fi prezentate pentru sediul principal, iar pentru sediile secundare/punctele de lucru, operarorul economic va prezenta o declaratie pe proprie raspundere privind indeplinirea obligatiilor de plata a impozitelor, taxelor sau contributiilor la bugetul consolidat datorate, cf. art.165 alin.3 din Legea 98/2016, modificata și completata prin OG 3/2021. </w:t>
            </w:r>
            <w:r>
              <w:rPr>
                <w:rFonts w:ascii="Calibri" w:hAnsi="Calibri" w:cs="Calibri"/>
                <w:bCs/>
                <w:iCs/>
                <w:sz w:val="22"/>
                <w:szCs w:val="22"/>
              </w:rPr>
              <w:t>După caz, se vor prezenta documente care demonstrează faptul că operatorul economic poate beneficia de derogările prevăzute la art. 166 alin. (2) din Legea 98/2016.</w:t>
            </w:r>
          </w:p>
          <w:p>
            <w:pPr>
              <w:numPr>
                <w:ilvl w:val="0"/>
                <w:numId w:val="34"/>
              </w:numPr>
              <w:suppressAutoHyphens w:val="0"/>
              <w:jc w:val="both"/>
              <w:rPr>
                <w:rFonts w:ascii="Calibri" w:hAnsi="Calibri" w:cs="Calibri"/>
                <w:bCs/>
                <w:sz w:val="22"/>
                <w:szCs w:val="22"/>
              </w:rPr>
            </w:pPr>
            <w:r>
              <w:rPr>
                <w:rFonts w:ascii="Calibri" w:hAnsi="Calibri" w:cs="Calibri"/>
                <w:b/>
                <w:bCs/>
                <w:sz w:val="22"/>
                <w:szCs w:val="22"/>
              </w:rPr>
              <w:t>Persoanele juridice străine</w:t>
            </w:r>
            <w:r>
              <w:rPr>
                <w:rFonts w:ascii="Calibri" w:hAnsi="Calibri" w:cs="Calibri"/>
                <w:bCs/>
                <w:sz w:val="22"/>
                <w:szCs w:val="22"/>
              </w:rPr>
              <w:t xml:space="preserve"> vor prezenta orice documente edificatoare (certificate de atestare fiscală, caziere fiscale, alte documente echivalente) eliberate de autorităţile competente din țara de origine, prin care sa dovedeasca faptul ca si-au indeplinit obligatiile de plata a impozitelor, taxelor și contributiilor la bugetul general consolidat (de stat și local), in conformitate cu legislatia nationala a tarii de rezidenta a operatorului economic sau a tarii in care operatorul economic este stabilit. Din documentele prezentate trebuie sa reiasa lipsa datoriilor restante, la momentul prezentarii acestora. Documentele prezentate în altă limbă vor fi însoțite de traducerea autorizată în limba română.</w:t>
            </w:r>
          </w:p>
          <w:p>
            <w:pPr>
              <w:suppressAutoHyphens w:val="0"/>
              <w:jc w:val="both"/>
              <w:rPr>
                <w:rFonts w:ascii="Calibri" w:hAnsi="Calibri" w:cs="Calibri"/>
                <w:bCs/>
                <w:i/>
                <w:sz w:val="22"/>
                <w:szCs w:val="22"/>
              </w:rPr>
            </w:pPr>
          </w:p>
          <w:p>
            <w:pPr>
              <w:numPr>
                <w:ilvl w:val="0"/>
                <w:numId w:val="33"/>
              </w:numPr>
              <w:suppressAutoHyphens w:val="0"/>
              <w:jc w:val="both"/>
              <w:rPr>
                <w:rFonts w:ascii="Calibri" w:hAnsi="Calibri" w:cs="Calibri"/>
                <w:bCs/>
                <w:sz w:val="22"/>
                <w:szCs w:val="22"/>
              </w:rPr>
            </w:pPr>
            <w:r>
              <w:rPr>
                <w:rFonts w:ascii="Calibri" w:hAnsi="Calibri" w:cs="Calibri"/>
                <w:bCs/>
                <w:sz w:val="22"/>
                <w:szCs w:val="22"/>
              </w:rPr>
              <w:t xml:space="preserve">documente edificatoare care probeaza/ confirma neincadrarea in situatiile prevazute la art. 167 din Legea 98/2016: </w:t>
            </w:r>
          </w:p>
          <w:p>
            <w:pPr>
              <w:numPr>
                <w:ilvl w:val="0"/>
                <w:numId w:val="34"/>
              </w:numPr>
              <w:suppressAutoHyphens w:val="0"/>
              <w:jc w:val="both"/>
              <w:rPr>
                <w:rFonts w:ascii="Calibri" w:hAnsi="Calibri" w:cs="Calibri"/>
                <w:bCs/>
                <w:sz w:val="22"/>
                <w:szCs w:val="22"/>
              </w:rPr>
            </w:pPr>
            <w:r>
              <w:rPr>
                <w:rFonts w:ascii="Calibri" w:hAnsi="Calibri" w:cs="Calibri"/>
                <w:bCs/>
                <w:sz w:val="22"/>
                <w:szCs w:val="22"/>
              </w:rPr>
              <w:lastRenderedPageBreak/>
              <w:t>Certificat Constatator emis de Oficiul Registrului Comertului de pe lânga Tribunalul Teritorial / Documente care dovedesc o forma de înregistrare / atestare ori apartenenta din punct de vedere profesional, conform legii din țara de rezidență a operatorului economic</w:t>
            </w:r>
          </w:p>
          <w:p>
            <w:pPr>
              <w:numPr>
                <w:ilvl w:val="0"/>
                <w:numId w:val="34"/>
              </w:numPr>
              <w:suppressAutoHyphens w:val="0"/>
              <w:jc w:val="both"/>
              <w:rPr>
                <w:rFonts w:ascii="Calibri" w:hAnsi="Calibri" w:cs="Calibri"/>
                <w:bCs/>
                <w:sz w:val="22"/>
                <w:szCs w:val="22"/>
              </w:rPr>
            </w:pPr>
            <w:r>
              <w:rPr>
                <w:rFonts w:ascii="Calibri" w:hAnsi="Calibri" w:cs="Calibri"/>
                <w:bCs/>
                <w:sz w:val="22"/>
                <w:szCs w:val="22"/>
              </w:rPr>
              <w:t>certificate, caziere, documente prin care se demonstreaza faptul ca operatorul economic poate beneficia de derogarile prevazute la art. 167 alin. (2) și art. 171 din Legea 98/2016.</w:t>
            </w:r>
          </w:p>
          <w:p>
            <w:pPr>
              <w:numPr>
                <w:ilvl w:val="0"/>
                <w:numId w:val="34"/>
              </w:numPr>
              <w:suppressAutoHyphens w:val="0"/>
              <w:jc w:val="both"/>
              <w:rPr>
                <w:rFonts w:ascii="Calibri" w:hAnsi="Calibri" w:cs="Calibri"/>
                <w:bCs/>
                <w:sz w:val="22"/>
                <w:szCs w:val="22"/>
              </w:rPr>
            </w:pPr>
            <w:r>
              <w:rPr>
                <w:rFonts w:ascii="Calibri" w:hAnsi="Calibri" w:cs="Calibri"/>
                <w:bCs/>
                <w:sz w:val="22"/>
                <w:szCs w:val="22"/>
              </w:rPr>
              <w:t>alte documente edificatoare, după caz.</w:t>
            </w:r>
          </w:p>
          <w:p>
            <w:pPr>
              <w:suppressAutoHyphens w:val="0"/>
              <w:jc w:val="both"/>
              <w:rPr>
                <w:rFonts w:ascii="Calibri" w:hAnsi="Calibri" w:cs="Calibri"/>
                <w:bCs/>
                <w:i/>
                <w:sz w:val="22"/>
                <w:szCs w:val="22"/>
              </w:rPr>
            </w:pPr>
          </w:p>
          <w:p>
            <w:pPr>
              <w:suppressAutoHyphens w:val="0"/>
              <w:jc w:val="both"/>
              <w:rPr>
                <w:rFonts w:ascii="Calibri" w:hAnsi="Calibri" w:cs="Calibri"/>
                <w:bCs/>
                <w:iCs/>
                <w:sz w:val="22"/>
                <w:szCs w:val="22"/>
              </w:rPr>
            </w:pPr>
            <w:r>
              <w:rPr>
                <w:rFonts w:ascii="Calibri" w:hAnsi="Calibri" w:cs="Calibri"/>
                <w:bCs/>
                <w:iCs/>
                <w:sz w:val="22"/>
                <w:szCs w:val="22"/>
              </w:rPr>
              <w:t>În cazul în care numărul de caractere care poate fi introdus în această secțiune este limitat de SICAP, se va introduce aici următorul text:</w:t>
            </w:r>
          </w:p>
          <w:p>
            <w:pPr>
              <w:suppressAutoHyphens w:val="0"/>
              <w:jc w:val="both"/>
              <w:rPr>
                <w:rFonts w:ascii="Calibri" w:hAnsi="Calibri" w:cs="Calibri"/>
                <w:bCs/>
                <w:sz w:val="22"/>
                <w:szCs w:val="22"/>
              </w:rPr>
            </w:pPr>
            <w:r>
              <w:rPr>
                <w:rFonts w:ascii="Calibri" w:hAnsi="Calibri" w:cs="Calibri"/>
                <w:bCs/>
                <w:sz w:val="22"/>
                <w:szCs w:val="22"/>
              </w:rPr>
              <w:t>Din motive obiective (numarul de caractere fiind limitat), informațiile din Sectiunea III.1.1.a) „Situaţia personală a candidatului sau ofertantului” se completează cu informațiile din Sectiunea VI.3) „Informaţii suplimentare”</w:t>
            </w:r>
          </w:p>
          <w:p>
            <w:pPr>
              <w:suppressAutoHyphens w:val="0"/>
              <w:jc w:val="both"/>
              <w:rPr>
                <w:rFonts w:ascii="Calibri" w:hAnsi="Calibri" w:cs="Calibri"/>
                <w:bCs/>
                <w:sz w:val="22"/>
                <w:szCs w:val="22"/>
              </w:rPr>
            </w:pPr>
            <w:r>
              <w:rPr>
                <w:rFonts w:ascii="Calibri" w:hAnsi="Calibri" w:cs="Calibri"/>
                <w:bCs/>
                <w:sz w:val="22"/>
                <w:szCs w:val="22"/>
              </w:rPr>
              <w:t>iar textul excedentar va fi adăugat în Sectiunea VI.3) „Informaţii suplimentare”, cu precizarea:</w:t>
            </w:r>
          </w:p>
          <w:p>
            <w:pPr>
              <w:suppressAutoHyphens w:val="0"/>
              <w:jc w:val="both"/>
              <w:rPr>
                <w:rFonts w:ascii="Calibri" w:hAnsi="Calibri" w:cs="Calibri"/>
                <w:b/>
                <w:bCs/>
                <w:sz w:val="22"/>
                <w:szCs w:val="22"/>
              </w:rPr>
            </w:pPr>
            <w:r>
              <w:rPr>
                <w:rFonts w:ascii="Calibri" w:hAnsi="Calibri" w:cs="Calibri"/>
                <w:b/>
                <w:bCs/>
                <w:sz w:val="22"/>
                <w:szCs w:val="22"/>
              </w:rPr>
              <w:t>Completare III.1.1.a) Situaţia personală a candidatului sau ofertantului</w:t>
            </w:r>
          </w:p>
          <w:p>
            <w:pPr>
              <w:suppressAutoHyphens w:val="0"/>
              <w:autoSpaceDE w:val="0"/>
              <w:autoSpaceDN w:val="0"/>
              <w:adjustRightInd w:val="0"/>
              <w:jc w:val="both"/>
              <w:rPr>
                <w:rFonts w:ascii="Calibri" w:eastAsiaTheme="minorHAnsi" w:hAnsi="Calibri" w:cs="Calibri"/>
                <w:noProof w:val="0"/>
                <w:sz w:val="22"/>
                <w:szCs w:val="22"/>
                <w:lang w:eastAsia="en-US"/>
              </w:rPr>
            </w:pPr>
          </w:p>
        </w:tc>
      </w:tr>
      <w:tr>
        <w:tc>
          <w:tcPr>
            <w:tcW w:w="9765" w:type="dxa"/>
            <w:gridSpan w:val="2"/>
            <w:tcBorders>
              <w:top w:val="single" w:sz="6" w:space="0" w:color="000000"/>
              <w:left w:val="single" w:sz="6" w:space="0" w:color="000000"/>
              <w:bottom w:val="single" w:sz="6" w:space="0" w:color="000000"/>
              <w:right w:val="single" w:sz="6" w:space="0" w:color="000000"/>
            </w:tcBorders>
          </w:tcPr>
          <w:p>
            <w:pPr>
              <w:jc w:val="both"/>
              <w:rPr>
                <w:rFonts w:ascii="Calibri" w:hAnsi="Calibri" w:cs="Calibri"/>
                <w:b/>
                <w:bCs/>
                <w:sz w:val="22"/>
                <w:szCs w:val="22"/>
                <w:lang w:eastAsia="ro-RO"/>
              </w:rPr>
            </w:pPr>
            <w:r>
              <w:rPr>
                <w:rFonts w:ascii="Calibri" w:hAnsi="Calibri" w:cs="Calibri"/>
                <w:b/>
                <w:bCs/>
                <w:sz w:val="22"/>
                <w:szCs w:val="22"/>
                <w:lang w:eastAsia="ro-RO"/>
              </w:rPr>
              <w:lastRenderedPageBreak/>
              <w:t>III.1.1.b) Capacitatea de exercitare a activităţii profesionale</w:t>
            </w:r>
          </w:p>
          <w:p>
            <w:pPr>
              <w:jc w:val="both"/>
              <w:rPr>
                <w:rFonts w:ascii="Calibri" w:hAnsi="Calibri" w:cs="Calibri"/>
                <w:b/>
                <w:sz w:val="22"/>
                <w:szCs w:val="22"/>
                <w:lang w:eastAsia="ro-RO"/>
              </w:rPr>
            </w:pPr>
            <w:r>
              <w:rPr>
                <w:rFonts w:ascii="Calibri" w:hAnsi="Calibri" w:cs="Calibri"/>
                <w:b/>
                <w:sz w:val="22"/>
                <w:szCs w:val="22"/>
                <w:lang w:eastAsia="ro-RO"/>
              </w:rPr>
              <w:t xml:space="preserve">Informatii și formalitati necesare pentru evaluarea respectarii cerintelor mentionate: </w:t>
            </w:r>
          </w:p>
          <w:p>
            <w:pPr>
              <w:jc w:val="both"/>
              <w:rPr>
                <w:rFonts w:ascii="Calibri" w:hAnsi="Calibri" w:cs="Calibri"/>
                <w:bCs/>
                <w:sz w:val="22"/>
                <w:szCs w:val="22"/>
                <w:lang w:eastAsia="ro-RO"/>
              </w:rPr>
            </w:pPr>
          </w:p>
          <w:p>
            <w:pPr>
              <w:jc w:val="both"/>
              <w:rPr>
                <w:rFonts w:ascii="Calibri" w:hAnsi="Calibri" w:cs="Calibri"/>
                <w:b/>
                <w:bCs/>
                <w:sz w:val="22"/>
                <w:szCs w:val="22"/>
                <w:lang w:eastAsia="ro-RO"/>
              </w:rPr>
            </w:pPr>
            <w:r>
              <w:rPr>
                <w:rFonts w:ascii="Calibri" w:hAnsi="Calibri" w:cs="Calibri"/>
                <w:b/>
                <w:bCs/>
                <w:sz w:val="22"/>
                <w:szCs w:val="22"/>
                <w:lang w:eastAsia="ro-RO"/>
              </w:rPr>
              <w:t xml:space="preserve">Cerința: </w:t>
            </w:r>
          </w:p>
          <w:p>
            <w:pPr>
              <w:jc w:val="both"/>
              <w:rPr>
                <w:rFonts w:ascii="Calibri" w:hAnsi="Calibri" w:cs="Calibri"/>
                <w:bCs/>
                <w:sz w:val="22"/>
                <w:szCs w:val="22"/>
                <w:lang w:eastAsia="ro-RO"/>
              </w:rPr>
            </w:pPr>
            <w:r>
              <w:rPr>
                <w:rFonts w:ascii="Calibri" w:hAnsi="Calibri" w:cs="Calibri"/>
                <w:bCs/>
                <w:sz w:val="22"/>
                <w:szCs w:val="22"/>
                <w:lang w:eastAsia="ro-RO"/>
              </w:rPr>
              <w:t>Înscrierea în registrul comerțului</w:t>
            </w:r>
          </w:p>
          <w:p>
            <w:pPr>
              <w:jc w:val="both"/>
              <w:rPr>
                <w:rFonts w:ascii="Calibri" w:hAnsi="Calibri" w:cs="Calibri"/>
                <w:b/>
                <w:bCs/>
                <w:sz w:val="22"/>
                <w:szCs w:val="22"/>
                <w:lang w:eastAsia="ro-RO"/>
              </w:rPr>
            </w:pPr>
            <w:r>
              <w:rPr>
                <w:rFonts w:ascii="Calibri" w:hAnsi="Calibri" w:cs="Calibri"/>
                <w:b/>
                <w:bCs/>
                <w:sz w:val="22"/>
                <w:szCs w:val="22"/>
                <w:lang w:eastAsia="ro-RO"/>
              </w:rPr>
              <w:t>Criteriu selectie:</w:t>
            </w:r>
          </w:p>
          <w:p>
            <w:pPr>
              <w:jc w:val="both"/>
              <w:rPr>
                <w:rFonts w:ascii="Calibri" w:hAnsi="Calibri" w:cs="Calibri"/>
                <w:bCs/>
                <w:sz w:val="22"/>
                <w:szCs w:val="22"/>
                <w:lang w:eastAsia="ro-RO"/>
              </w:rPr>
            </w:pPr>
            <w:r>
              <w:rPr>
                <w:rFonts w:ascii="Calibri" w:hAnsi="Calibri" w:cs="Calibri"/>
                <w:bCs/>
                <w:sz w:val="22"/>
                <w:szCs w:val="22"/>
                <w:lang w:eastAsia="ro-RO"/>
              </w:rPr>
              <w:t>Înregistrare într-un registru comercial</w:t>
            </w:r>
          </w:p>
          <w:p>
            <w:pPr>
              <w:jc w:val="both"/>
              <w:rPr>
                <w:rFonts w:ascii="Calibri" w:hAnsi="Calibri" w:cs="Calibri"/>
                <w:b/>
                <w:bCs/>
                <w:sz w:val="22"/>
                <w:szCs w:val="22"/>
                <w:lang w:eastAsia="ro-RO"/>
              </w:rPr>
            </w:pPr>
            <w:r>
              <w:rPr>
                <w:rFonts w:ascii="Calibri" w:hAnsi="Calibri" w:cs="Calibri"/>
                <w:b/>
                <w:bCs/>
                <w:sz w:val="22"/>
                <w:szCs w:val="22"/>
                <w:lang w:eastAsia="ro-RO"/>
              </w:rPr>
              <w:t>Descriere:</w:t>
            </w:r>
          </w:p>
          <w:p>
            <w:pPr>
              <w:jc w:val="both"/>
              <w:rPr>
                <w:rFonts w:ascii="Calibri" w:hAnsi="Calibri" w:cs="Calibri"/>
                <w:bCs/>
                <w:sz w:val="22"/>
                <w:szCs w:val="22"/>
                <w:lang w:eastAsia="ro-RO"/>
              </w:rPr>
            </w:pPr>
            <w:r>
              <w:rPr>
                <w:rFonts w:ascii="Calibri" w:hAnsi="Calibri" w:cs="Calibri"/>
                <w:bCs/>
                <w:sz w:val="22"/>
                <w:szCs w:val="22"/>
                <w:lang w:eastAsia="ro-RO"/>
              </w:rPr>
              <w:t>Operatorii economici care depun ofertă trebuie să dovedească o formă de înregistrare în condițiile legii din țara de rezidență, din care sa reiasă că operatorul economic este legal constituit, că nu se află în niciuna dintre situațiile de anulare a constituirii, precum și faptul că are capacitatea profesională de a realiza activitățile care fac obiectul contractului. Ofertantul va face dovada că activitătile cuprinse în Certificatul constatator (în concordanţă cu obiectul contractului), sunt autorizate de către ONRC.</w:t>
            </w:r>
          </w:p>
          <w:p>
            <w:pPr>
              <w:jc w:val="both"/>
              <w:rPr>
                <w:rFonts w:ascii="Calibri" w:hAnsi="Calibri" w:cs="Calibri"/>
                <w:bCs/>
                <w:sz w:val="22"/>
                <w:szCs w:val="22"/>
                <w:lang w:eastAsia="ro-RO"/>
              </w:rPr>
            </w:pPr>
          </w:p>
          <w:p>
            <w:pPr>
              <w:jc w:val="both"/>
              <w:rPr>
                <w:rFonts w:ascii="Calibri" w:hAnsi="Calibri" w:cs="Calibri"/>
                <w:bCs/>
                <w:sz w:val="22"/>
                <w:szCs w:val="22"/>
                <w:lang w:eastAsia="ro-RO"/>
              </w:rPr>
            </w:pPr>
            <w:r>
              <w:rPr>
                <w:rFonts w:ascii="Calibri" w:hAnsi="Calibri" w:cs="Calibri"/>
                <w:bCs/>
                <w:i/>
                <w:sz w:val="22"/>
                <w:szCs w:val="22"/>
                <w:lang w:eastAsia="ro-RO"/>
              </w:rPr>
              <w:t>Modalitatea de îndeplinire:</w:t>
            </w:r>
            <w:r>
              <w:rPr>
                <w:rFonts w:ascii="Calibri" w:hAnsi="Calibri" w:cs="Calibri"/>
                <w:bCs/>
                <w:sz w:val="22"/>
                <w:szCs w:val="22"/>
                <w:lang w:eastAsia="ro-RO"/>
              </w:rPr>
              <w:t xml:space="preserve"> </w:t>
            </w:r>
          </w:p>
          <w:p>
            <w:pPr>
              <w:numPr>
                <w:ilvl w:val="0"/>
                <w:numId w:val="31"/>
              </w:numPr>
              <w:jc w:val="both"/>
              <w:rPr>
                <w:rFonts w:ascii="Calibri" w:hAnsi="Calibri" w:cs="Calibri"/>
                <w:bCs/>
                <w:sz w:val="22"/>
                <w:szCs w:val="22"/>
                <w:lang w:eastAsia="ro-RO"/>
              </w:rPr>
            </w:pPr>
            <w:r>
              <w:rPr>
                <w:rFonts w:ascii="Calibri" w:hAnsi="Calibri" w:cs="Calibri"/>
                <w:bCs/>
                <w:sz w:val="22"/>
                <w:szCs w:val="22"/>
                <w:lang w:eastAsia="ro-RO"/>
              </w:rPr>
              <w:t>Fiecare ofertant, asociat, terț susținător, subcontractant va completa DUAE - Partea IV "Criterii de selectie" – Sectiunea A. Capacitatea de a corespunde cerintelor</w:t>
            </w:r>
          </w:p>
          <w:p>
            <w:pPr>
              <w:jc w:val="both"/>
              <w:rPr>
                <w:rFonts w:ascii="Calibri" w:hAnsi="Calibri" w:cs="Calibri"/>
                <w:bCs/>
                <w:sz w:val="22"/>
                <w:szCs w:val="22"/>
                <w:lang w:eastAsia="ro-RO"/>
              </w:rPr>
            </w:pPr>
          </w:p>
          <w:p>
            <w:pPr>
              <w:jc w:val="both"/>
              <w:rPr>
                <w:rFonts w:ascii="Calibri" w:hAnsi="Calibri" w:cs="Calibri"/>
                <w:bCs/>
                <w:sz w:val="22"/>
                <w:szCs w:val="22"/>
                <w:lang w:eastAsia="ro-RO"/>
              </w:rPr>
            </w:pPr>
            <w:r>
              <w:rPr>
                <w:rFonts w:ascii="Calibri" w:hAnsi="Calibri" w:cs="Calibri"/>
                <w:bCs/>
                <w:sz w:val="22"/>
                <w:szCs w:val="22"/>
                <w:lang w:eastAsia="ro-RO"/>
              </w:rPr>
              <w:t>Inainte de atribuirea contractului, Ofertantul clasat pe primul loc dupa aplicarea criteriului de atribuire va prezenta, la solicitarea Entitatii Contractante, urmatoarele documente de confirmare:</w:t>
            </w:r>
          </w:p>
          <w:p>
            <w:pPr>
              <w:jc w:val="both"/>
              <w:rPr>
                <w:rFonts w:ascii="Calibri" w:hAnsi="Calibri" w:cs="Calibri"/>
                <w:bCs/>
                <w:sz w:val="22"/>
                <w:szCs w:val="22"/>
                <w:lang w:eastAsia="ro-RO"/>
              </w:rPr>
            </w:pPr>
            <w:r>
              <w:rPr>
                <w:rFonts w:ascii="Calibri" w:hAnsi="Calibri" w:cs="Calibri"/>
                <w:bCs/>
                <w:sz w:val="22"/>
                <w:szCs w:val="22"/>
                <w:lang w:eastAsia="ro-RO"/>
              </w:rPr>
              <w:t xml:space="preserve">(a) </w:t>
            </w:r>
            <w:r>
              <w:rPr>
                <w:rFonts w:ascii="Calibri" w:hAnsi="Calibri" w:cs="Calibri"/>
                <w:b/>
                <w:bCs/>
                <w:sz w:val="22"/>
                <w:szCs w:val="22"/>
                <w:lang w:eastAsia="ro-RO"/>
              </w:rPr>
              <w:t>Pentru persoanele juridice române</w:t>
            </w:r>
            <w:r>
              <w:rPr>
                <w:rFonts w:ascii="Calibri" w:hAnsi="Calibri" w:cs="Calibri"/>
                <w:bCs/>
                <w:sz w:val="22"/>
                <w:szCs w:val="22"/>
                <w:lang w:eastAsia="ro-RO"/>
              </w:rPr>
              <w:t xml:space="preserve"> </w:t>
            </w:r>
          </w:p>
          <w:p>
            <w:pPr>
              <w:jc w:val="both"/>
              <w:rPr>
                <w:rFonts w:ascii="Calibri" w:hAnsi="Calibri" w:cs="Calibri"/>
                <w:bCs/>
                <w:sz w:val="22"/>
                <w:szCs w:val="22"/>
                <w:lang w:eastAsia="ro-RO"/>
              </w:rPr>
            </w:pPr>
            <w:r>
              <w:rPr>
                <w:rFonts w:ascii="Calibri" w:hAnsi="Calibri" w:cs="Calibri"/>
                <w:bCs/>
                <w:sz w:val="22"/>
                <w:szCs w:val="22"/>
                <w:lang w:eastAsia="ro-RO"/>
              </w:rPr>
              <w:t>- Certificat Constatator emis de Oficiul Registrului Comertului de pe lânga Tribunalul Teritorial, din care sa rezulte cel putin informatiile legate de reprezentantii legali, domeniul/domeniile de activitate autorizate conform art.15 din Legea 359/2004 și codurile CAEN aferente acestora. In cazul ofertelor prezentate in asociere, autorizarea activitatilor se va demonstra pentru fiecare asociat in raport cu implicarea acestuia in contractul pentru care se depune oferta.</w:t>
            </w:r>
          </w:p>
          <w:p>
            <w:pPr>
              <w:jc w:val="both"/>
              <w:rPr>
                <w:rFonts w:ascii="Calibri" w:hAnsi="Calibri" w:cs="Calibri"/>
                <w:bCs/>
                <w:sz w:val="22"/>
                <w:szCs w:val="22"/>
                <w:lang w:eastAsia="ro-RO"/>
              </w:rPr>
            </w:pPr>
            <w:r>
              <w:rPr>
                <w:rFonts w:ascii="Calibri" w:hAnsi="Calibri" w:cs="Calibri"/>
                <w:bCs/>
                <w:sz w:val="22"/>
                <w:szCs w:val="22"/>
                <w:lang w:eastAsia="ro-RO"/>
              </w:rPr>
              <w:t xml:space="preserve">(b) </w:t>
            </w:r>
            <w:r>
              <w:rPr>
                <w:rFonts w:ascii="Calibri" w:hAnsi="Calibri" w:cs="Calibri"/>
                <w:b/>
                <w:bCs/>
                <w:sz w:val="22"/>
                <w:szCs w:val="22"/>
                <w:lang w:eastAsia="ro-RO"/>
              </w:rPr>
              <w:t>Pentru persoanele juridice straine</w:t>
            </w:r>
            <w:r>
              <w:rPr>
                <w:rFonts w:ascii="Calibri" w:hAnsi="Calibri" w:cs="Calibri"/>
                <w:bCs/>
                <w:sz w:val="22"/>
                <w:szCs w:val="22"/>
                <w:lang w:eastAsia="ro-RO"/>
              </w:rPr>
              <w:t xml:space="preserve"> </w:t>
            </w:r>
          </w:p>
          <w:p>
            <w:pPr>
              <w:jc w:val="both"/>
              <w:rPr>
                <w:rFonts w:ascii="Calibri" w:hAnsi="Calibri" w:cs="Calibri"/>
                <w:bCs/>
                <w:sz w:val="22"/>
                <w:szCs w:val="22"/>
                <w:lang w:eastAsia="ro-RO"/>
              </w:rPr>
            </w:pPr>
            <w:r>
              <w:rPr>
                <w:rFonts w:ascii="Calibri" w:hAnsi="Calibri" w:cs="Calibri"/>
                <w:bCs/>
                <w:sz w:val="22"/>
                <w:szCs w:val="22"/>
                <w:lang w:eastAsia="ro-RO"/>
              </w:rPr>
              <w:t>- Documente care dovedesc o forma de înregistrare / atestare ori apartenenta din punct de vedere profesional, conform legii din țara de rezidență a operatorului economic, din care sa rezulte cel putin: denumirea completa, durata de functionare, sediul social, asociati/actionari, persoane imputernicite/administratori, domenii de activitate, activitati autorizate;</w:t>
            </w:r>
          </w:p>
          <w:p>
            <w:pPr>
              <w:jc w:val="both"/>
              <w:rPr>
                <w:rFonts w:ascii="Calibri" w:hAnsi="Calibri" w:cs="Calibri"/>
                <w:bCs/>
                <w:sz w:val="22"/>
                <w:szCs w:val="22"/>
                <w:lang w:eastAsia="ro-RO"/>
              </w:rPr>
            </w:pPr>
            <w:r>
              <w:rPr>
                <w:rFonts w:ascii="Calibri" w:hAnsi="Calibri" w:cs="Calibri"/>
                <w:bCs/>
                <w:sz w:val="22"/>
                <w:szCs w:val="22"/>
                <w:lang w:eastAsia="ro-RO"/>
              </w:rPr>
              <w:t xml:space="preserve">- Certificat de Rezidență Fiscală (evitarea dublei impuneri) sau o declaratie, valabile pentru anul calendaristic în curs. </w:t>
            </w:r>
          </w:p>
          <w:p>
            <w:pPr>
              <w:jc w:val="both"/>
              <w:rPr>
                <w:rFonts w:ascii="Calibri" w:hAnsi="Calibri" w:cs="Calibri"/>
                <w:bCs/>
                <w:sz w:val="22"/>
                <w:szCs w:val="22"/>
                <w:lang w:eastAsia="ro-RO"/>
              </w:rPr>
            </w:pPr>
          </w:p>
          <w:p>
            <w:pPr>
              <w:jc w:val="both"/>
              <w:rPr>
                <w:rFonts w:ascii="Calibri" w:hAnsi="Calibri" w:cs="Calibri"/>
                <w:bCs/>
                <w:sz w:val="22"/>
                <w:szCs w:val="22"/>
                <w:lang w:eastAsia="ro-RO"/>
              </w:rPr>
            </w:pPr>
            <w:r>
              <w:rPr>
                <w:rFonts w:ascii="Calibri" w:hAnsi="Calibri" w:cs="Calibri"/>
                <w:bCs/>
                <w:sz w:val="22"/>
                <w:szCs w:val="22"/>
                <w:lang w:eastAsia="ro-RO"/>
              </w:rPr>
              <w:t>NOTE:</w:t>
            </w:r>
          </w:p>
          <w:p>
            <w:pPr>
              <w:jc w:val="both"/>
              <w:rPr>
                <w:rFonts w:ascii="Calibri" w:hAnsi="Calibri" w:cs="Calibri"/>
                <w:bCs/>
                <w:sz w:val="22"/>
                <w:szCs w:val="22"/>
                <w:lang w:eastAsia="ro-RO"/>
              </w:rPr>
            </w:pPr>
            <w:r>
              <w:rPr>
                <w:rFonts w:ascii="Calibri" w:hAnsi="Calibri" w:cs="Calibri"/>
                <w:bCs/>
                <w:sz w:val="22"/>
                <w:szCs w:val="22"/>
                <w:lang w:eastAsia="ro-RO"/>
              </w:rPr>
              <w:t>1. Informatiile din certificatele constatatoare trebuie sa fie reale/actuale la data prezentarii acestora, in urma solicitarii entitatii contractante;</w:t>
            </w:r>
          </w:p>
          <w:p>
            <w:pPr>
              <w:jc w:val="both"/>
              <w:rPr>
                <w:rFonts w:ascii="Calibri" w:hAnsi="Calibri" w:cs="Calibri"/>
                <w:bCs/>
                <w:sz w:val="22"/>
                <w:szCs w:val="22"/>
                <w:lang w:eastAsia="ro-RO"/>
              </w:rPr>
            </w:pPr>
            <w:r>
              <w:rPr>
                <w:rFonts w:ascii="Calibri" w:hAnsi="Calibri" w:cs="Calibri"/>
                <w:bCs/>
                <w:sz w:val="22"/>
                <w:szCs w:val="22"/>
                <w:lang w:eastAsia="ro-RO"/>
              </w:rPr>
              <w:lastRenderedPageBreak/>
              <w:t xml:space="preserve">2. Pentru persoanele juridice române, documentele se prezinta în copie lizibilă a originalului/documentului  legalizat, iar pentru persoanele juridice straine documentele se prezinta în copie lizibilă a originalului/documentului legalizat și vor fi însotite de traducere autorizata in limba româna. </w:t>
            </w:r>
          </w:p>
          <w:p>
            <w:pPr>
              <w:jc w:val="both"/>
              <w:rPr>
                <w:rFonts w:ascii="Calibri" w:hAnsi="Calibri" w:cs="Calibri"/>
                <w:bCs/>
                <w:sz w:val="22"/>
                <w:szCs w:val="22"/>
                <w:lang w:eastAsia="ro-RO"/>
              </w:rPr>
            </w:pPr>
            <w:r>
              <w:rPr>
                <w:rFonts w:ascii="Calibri" w:hAnsi="Calibri" w:cs="Calibri"/>
                <w:bCs/>
                <w:sz w:val="22"/>
                <w:szCs w:val="22"/>
                <w:lang w:eastAsia="ro-RO"/>
              </w:rPr>
              <w:t>3. In cazul unei asocieri, fiecare asociat va prezenta documentele sus menţionate. Obiectul contractului trebuie să aibă corespondent în codul CAEN din certificatul constatator emis de ONRC (respectiv documentul echivalent prezentat de persoana juridică străină) pentru partea din contract pe care o realizează asociatul.</w:t>
            </w:r>
          </w:p>
          <w:p>
            <w:pPr>
              <w:jc w:val="both"/>
              <w:rPr>
                <w:rFonts w:ascii="Calibri" w:hAnsi="Calibri" w:cs="Calibri"/>
                <w:bCs/>
                <w:sz w:val="22"/>
                <w:szCs w:val="22"/>
                <w:lang w:eastAsia="ro-RO"/>
              </w:rPr>
            </w:pPr>
            <w:r>
              <w:rPr>
                <w:rFonts w:ascii="Calibri" w:hAnsi="Calibri" w:cs="Calibri"/>
                <w:bCs/>
                <w:sz w:val="22"/>
                <w:szCs w:val="22"/>
                <w:lang w:eastAsia="ro-RO"/>
              </w:rPr>
              <w:t>4.  In situatia in care parti din contract vor fi executate de catre subcontractanti sau in situatia in care ofertantul beneficiaza de sustinere din partea unor terti, dovada inregistrarii și corespondenta activitatilor principale/secundare din cadrul acestuia cu obiectul achizitiei se va prezenta obligatoriu și de catre subcontractanti, pentru partea din contract pe care o vor realiza, respectiv terti sustinatori declarati in DUAE.</w:t>
            </w:r>
          </w:p>
          <w:p>
            <w:pPr>
              <w:jc w:val="both"/>
              <w:rPr>
                <w:rFonts w:ascii="Calibri" w:hAnsi="Calibri" w:cs="Calibri"/>
                <w:bCs/>
                <w:sz w:val="22"/>
                <w:szCs w:val="22"/>
                <w:lang w:eastAsia="ro-RO"/>
              </w:rPr>
            </w:pPr>
          </w:p>
          <w:p>
            <w:pPr>
              <w:jc w:val="both"/>
              <w:rPr>
                <w:rFonts w:ascii="Calibri" w:hAnsi="Calibri" w:cs="Calibri"/>
                <w:bCs/>
                <w:iCs/>
                <w:sz w:val="22"/>
                <w:szCs w:val="22"/>
                <w:lang w:eastAsia="ro-RO"/>
              </w:rPr>
            </w:pPr>
            <w:r>
              <w:rPr>
                <w:rFonts w:ascii="Calibri" w:hAnsi="Calibri" w:cs="Calibri"/>
                <w:bCs/>
                <w:iCs/>
                <w:sz w:val="22"/>
                <w:szCs w:val="22"/>
                <w:lang w:eastAsia="ro-RO"/>
              </w:rPr>
              <w:t>În cazul în care numărul de caractere care poate fi introdus în această secțiune este limitat de SICAP, se va introduce aici următorul text:</w:t>
            </w:r>
          </w:p>
          <w:p>
            <w:pPr>
              <w:jc w:val="both"/>
              <w:rPr>
                <w:rFonts w:ascii="Calibri" w:hAnsi="Calibri" w:cs="Calibri"/>
                <w:bCs/>
                <w:sz w:val="22"/>
                <w:szCs w:val="22"/>
                <w:lang w:eastAsia="ro-RO"/>
              </w:rPr>
            </w:pPr>
            <w:r>
              <w:rPr>
                <w:rFonts w:ascii="Calibri" w:hAnsi="Calibri" w:cs="Calibri"/>
                <w:bCs/>
                <w:sz w:val="22"/>
                <w:szCs w:val="22"/>
                <w:lang w:eastAsia="ro-RO"/>
              </w:rPr>
              <w:t>Din motive obiective (numarul de caractere fiind limitat), prezentarea completa a modalitatii de indeplinire de la III.1 CONDIŢII DE PARTICIPARE, III.1.1.b) „Capacitatea de exercitare a activităţii profesionale”  se regaseste in Sectiunea VI.3) „Informaţii suplimentare”.</w:t>
            </w:r>
          </w:p>
          <w:p>
            <w:pPr>
              <w:jc w:val="both"/>
              <w:rPr>
                <w:rFonts w:ascii="Calibri" w:hAnsi="Calibri" w:cs="Calibri"/>
                <w:bCs/>
                <w:sz w:val="22"/>
                <w:szCs w:val="22"/>
                <w:lang w:eastAsia="ro-RO"/>
              </w:rPr>
            </w:pPr>
            <w:r>
              <w:rPr>
                <w:rFonts w:ascii="Calibri" w:hAnsi="Calibri" w:cs="Calibri"/>
                <w:bCs/>
                <w:sz w:val="22"/>
                <w:szCs w:val="22"/>
                <w:lang w:eastAsia="ro-RO"/>
              </w:rPr>
              <w:t>iar textul excedentar va fi adăugat în Sectiunea VI.3) „Informaţii suplimentare”, cu precizarea:</w:t>
            </w:r>
          </w:p>
          <w:p>
            <w:pPr>
              <w:jc w:val="both"/>
              <w:rPr>
                <w:rFonts w:ascii="Calibri" w:hAnsi="Calibri" w:cs="Calibri"/>
                <w:bCs/>
                <w:sz w:val="22"/>
                <w:szCs w:val="22"/>
                <w:lang w:eastAsia="ro-RO"/>
              </w:rPr>
            </w:pPr>
            <w:r>
              <w:rPr>
                <w:rFonts w:ascii="Calibri" w:hAnsi="Calibri" w:cs="Calibri"/>
                <w:b/>
                <w:bCs/>
                <w:sz w:val="22"/>
                <w:szCs w:val="22"/>
                <w:lang w:eastAsia="ro-RO"/>
              </w:rPr>
              <w:t>Completare III.1.1.b) Capacitatea de exercitare a activităţii profesionale</w:t>
            </w:r>
          </w:p>
          <w:p>
            <w:pPr>
              <w:jc w:val="both"/>
              <w:rPr>
                <w:rFonts w:ascii="Calibri" w:hAnsi="Calibri" w:cs="Calibri"/>
                <w:sz w:val="22"/>
                <w:szCs w:val="22"/>
                <w:lang w:eastAsia="ro-RO"/>
              </w:rPr>
            </w:pPr>
            <w:r>
              <w:rPr>
                <w:rFonts w:ascii="Calibri" w:eastAsiaTheme="minorEastAsia" w:hAnsi="Calibri" w:cs="Calibri"/>
                <w:b/>
                <w:bCs/>
                <w:i/>
                <w:iCs/>
                <w:noProof w:val="0"/>
                <w:sz w:val="22"/>
                <w:szCs w:val="22"/>
                <w:lang w:eastAsia="ro-RO"/>
              </w:rPr>
              <w:t xml:space="preserve"> </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lastRenderedPageBreak/>
              <w:t>III.1.2) Capacitatea economică și financiară</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i/>
                <w:iCs/>
                <w:noProof w:val="0"/>
                <w:sz w:val="22"/>
                <w:szCs w:val="22"/>
                <w:lang w:eastAsia="en-US"/>
              </w:rPr>
            </w:pPr>
            <w:r>
              <w:rPr>
                <w:rFonts w:ascii="Calibri" w:eastAsiaTheme="minorHAnsi" w:hAnsi="Calibri" w:cs="Calibri"/>
                <w:i/>
                <w:iCs/>
                <w:noProof w:val="0"/>
                <w:sz w:val="22"/>
                <w:szCs w:val="22"/>
                <w:lang w:eastAsia="en-US"/>
              </w:rPr>
              <w:t xml:space="preserve">Informaţii şi/său nivel(urî) minim(e) necesare pentru evaluarea respectării cerinţelor menţionate </w:t>
            </w:r>
          </w:p>
        </w:tc>
        <w:tc>
          <w:tcPr>
            <w:tcW w:w="5018"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i/>
                <w:iCs/>
                <w:noProof w:val="0"/>
                <w:sz w:val="22"/>
                <w:szCs w:val="22"/>
                <w:lang w:eastAsia="en-US"/>
              </w:rPr>
            </w:pPr>
            <w:r>
              <w:rPr>
                <w:rFonts w:ascii="Calibri" w:eastAsiaTheme="minorHAnsi" w:hAnsi="Calibri" w:cs="Calibri"/>
                <w:i/>
                <w:iCs/>
                <w:noProof w:val="0"/>
                <w:sz w:val="22"/>
                <w:szCs w:val="22"/>
                <w:lang w:eastAsia="en-US"/>
              </w:rPr>
              <w:t>Modalitatea de îndeplinire:</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u w:val="single"/>
                <w:lang w:eastAsia="en-US"/>
              </w:rPr>
            </w:pPr>
            <w:r>
              <w:rPr>
                <w:rFonts w:ascii="Calibri" w:eastAsiaTheme="minorHAnsi" w:hAnsi="Calibri" w:cs="Calibri"/>
                <w:b/>
                <w:bCs/>
                <w:noProof w:val="0"/>
                <w:sz w:val="22"/>
                <w:szCs w:val="22"/>
                <w:u w:val="single"/>
                <w:lang w:eastAsia="en-US"/>
              </w:rPr>
              <w:t>Cerinţa – Cifra de afaceri medie anuală</w:t>
            </w:r>
          </w:p>
          <w:p>
            <w:pPr>
              <w:tabs>
                <w:tab w:val="center" w:pos="4320"/>
                <w:tab w:val="right" w:pos="8640"/>
              </w:tabs>
              <w:jc w:val="both"/>
              <w:rPr>
                <w:rFonts w:ascii="Calibri" w:hAnsi="Calibri" w:cs="Calibri"/>
                <w:i/>
                <w:sz w:val="22"/>
                <w:szCs w:val="22"/>
              </w:rPr>
            </w:pPr>
          </w:p>
          <w:p>
            <w:pPr>
              <w:tabs>
                <w:tab w:val="center" w:pos="4320"/>
                <w:tab w:val="right" w:pos="8640"/>
              </w:tabs>
              <w:jc w:val="both"/>
              <w:rPr>
                <w:rFonts w:ascii="Calibri" w:hAnsi="Calibri" w:cs="Calibri"/>
                <w:i/>
                <w:sz w:val="22"/>
                <w:szCs w:val="22"/>
              </w:rPr>
            </w:pPr>
            <w:bookmarkStart w:id="7" w:name="_Hlk226385586"/>
            <w:r>
              <w:rPr>
                <w:rFonts w:ascii="Calibri" w:hAnsi="Calibri" w:cs="Calibri"/>
                <w:iCs/>
                <w:sz w:val="22"/>
                <w:szCs w:val="22"/>
              </w:rPr>
              <w:t>Media cifrei de afaceri a ofertantului, calculată pe ultimii trei ani financiari (</w:t>
            </w:r>
            <w:r>
              <w:rPr>
                <w:rFonts w:ascii="Calibri" w:hAnsi="Calibri" w:cs="Calibri"/>
                <w:b/>
                <w:bCs/>
                <w:iCs/>
                <w:sz w:val="22"/>
                <w:szCs w:val="22"/>
              </w:rPr>
              <w:t>2023, 2024, 2025</w:t>
            </w:r>
            <w:r>
              <w:rPr>
                <w:rFonts w:ascii="Calibri" w:hAnsi="Calibri" w:cs="Calibri"/>
                <w:iCs/>
                <w:sz w:val="22"/>
                <w:szCs w:val="22"/>
              </w:rPr>
              <w:t xml:space="preserve">), trebuie să fie cel puțin </w:t>
            </w:r>
            <w:r>
              <w:rPr>
                <w:rFonts w:ascii="Calibri" w:hAnsi="Calibri" w:cs="Calibri"/>
                <w:b/>
                <w:bCs/>
                <w:sz w:val="22"/>
                <w:szCs w:val="22"/>
              </w:rPr>
              <w:t>295</w:t>
            </w:r>
            <w:r>
              <w:rPr>
                <w:rFonts w:ascii="Calibri" w:hAnsi="Calibri" w:cs="Calibri"/>
                <w:b/>
                <w:bCs/>
                <w:iCs/>
                <w:sz w:val="22"/>
                <w:szCs w:val="22"/>
              </w:rPr>
              <w:t>.000.000</w:t>
            </w:r>
            <w:r>
              <w:rPr>
                <w:rFonts w:ascii="Calibri" w:hAnsi="Calibri" w:cs="Calibri"/>
                <w:iCs/>
                <w:sz w:val="22"/>
                <w:szCs w:val="22"/>
              </w:rPr>
              <w:t xml:space="preserve"> </w:t>
            </w:r>
            <w:r>
              <w:rPr>
                <w:rFonts w:ascii="Calibri" w:hAnsi="Calibri" w:cs="Calibri"/>
                <w:b/>
                <w:bCs/>
                <w:iCs/>
                <w:sz w:val="22"/>
                <w:szCs w:val="22"/>
              </w:rPr>
              <w:t>lei</w:t>
            </w:r>
            <w:r>
              <w:rPr>
                <w:rFonts w:ascii="Calibri" w:hAnsi="Calibri" w:cs="Calibri"/>
                <w:bCs/>
                <w:i/>
                <w:sz w:val="22"/>
                <w:szCs w:val="22"/>
              </w:rPr>
              <w:t xml:space="preserve"> </w:t>
            </w:r>
            <w:r>
              <w:rPr>
                <w:rFonts w:ascii="Calibri" w:hAnsi="Calibri" w:cs="Calibri"/>
                <w:i/>
                <w:sz w:val="22"/>
                <w:szCs w:val="22"/>
              </w:rPr>
              <w:t>(sau echivalent)</w:t>
            </w:r>
          </w:p>
          <w:p>
            <w:pPr>
              <w:tabs>
                <w:tab w:val="center" w:pos="4320"/>
                <w:tab w:val="right" w:pos="8640"/>
              </w:tabs>
              <w:jc w:val="both"/>
              <w:rPr>
                <w:rFonts w:ascii="Calibri" w:hAnsi="Calibri" w:cs="Calibri"/>
                <w:i/>
                <w:sz w:val="22"/>
                <w:szCs w:val="22"/>
              </w:rPr>
            </w:pPr>
          </w:p>
          <w:p>
            <w:pPr>
              <w:tabs>
                <w:tab w:val="center" w:pos="4320"/>
                <w:tab w:val="right" w:pos="8640"/>
              </w:tabs>
              <w:jc w:val="both"/>
              <w:rPr>
                <w:rFonts w:ascii="Calibri" w:hAnsi="Calibri" w:cs="Calibri"/>
                <w:sz w:val="22"/>
                <w:szCs w:val="22"/>
              </w:rPr>
            </w:pPr>
            <w:r>
              <w:rPr>
                <w:rFonts w:ascii="Calibri" w:hAnsi="Calibri" w:cs="Calibri"/>
                <w:sz w:val="22"/>
                <w:szCs w:val="22"/>
              </w:rPr>
              <w:t>În cazul în care un grup de operatori economici depune oferta comună, atunci îndeplinirea cerinței privind "cifra de afaceri” se demonstrează prin luarea în considerare a resurselor tuturor membrilor grupului. În acest caz, fiecare asociat este obligat să prezinte documentele doveditoare.</w:t>
            </w:r>
          </w:p>
          <w:bookmarkEnd w:id="7"/>
          <w:p>
            <w:pPr>
              <w:tabs>
                <w:tab w:val="center" w:pos="4320"/>
                <w:tab w:val="right" w:pos="8640"/>
              </w:tabs>
              <w:jc w:val="both"/>
              <w:rPr>
                <w:rFonts w:ascii="Calibri" w:hAnsi="Calibri" w:cs="Calibri"/>
                <w:sz w:val="22"/>
                <w:szCs w:val="22"/>
              </w:rPr>
            </w:pPr>
          </w:p>
          <w:p>
            <w:pPr>
              <w:tabs>
                <w:tab w:val="center" w:pos="4320"/>
                <w:tab w:val="right" w:pos="8640"/>
              </w:tabs>
              <w:jc w:val="both"/>
              <w:rPr>
                <w:rFonts w:ascii="Calibri" w:hAnsi="Calibri" w:cs="Calibri"/>
                <w:sz w:val="22"/>
                <w:szCs w:val="22"/>
              </w:rPr>
            </w:pPr>
            <w:r>
              <w:rPr>
                <w:rFonts w:ascii="Calibri" w:hAnsi="Calibri" w:cs="Calibri"/>
                <w:sz w:val="22"/>
                <w:szCs w:val="22"/>
              </w:rPr>
              <w:t>Pentru calculul echivalenţei cifrei de afaceri globale pe ultimii 3 ani se va aplica cursul mediu anual lei/ valuta comunicat de BNR pentru fiecare an in parte.</w:t>
            </w:r>
          </w:p>
          <w:p>
            <w:pPr>
              <w:tabs>
                <w:tab w:val="center" w:pos="4320"/>
                <w:tab w:val="right" w:pos="8640"/>
              </w:tabs>
              <w:rPr>
                <w:rFonts w:ascii="Calibri" w:hAnsi="Calibri" w:cs="Calibri"/>
                <w:sz w:val="22"/>
                <w:szCs w:val="22"/>
              </w:rPr>
            </w:pPr>
          </w:p>
          <w:p>
            <w:pPr>
              <w:tabs>
                <w:tab w:val="center" w:pos="4320"/>
                <w:tab w:val="right" w:pos="8640"/>
              </w:tabs>
              <w:suppressAutoHyphens w:val="0"/>
              <w:autoSpaceDE w:val="0"/>
              <w:autoSpaceDN w:val="0"/>
              <w:adjustRightInd w:val="0"/>
              <w:rPr>
                <w:rFonts w:ascii="Calibri" w:eastAsiaTheme="minorHAnsi" w:hAnsi="Calibri" w:cs="Calibri"/>
                <w:i/>
                <w:iCs/>
                <w:noProof w:val="0"/>
                <w:sz w:val="22"/>
                <w:szCs w:val="22"/>
                <w:lang w:eastAsia="en-US"/>
              </w:rPr>
            </w:pPr>
          </w:p>
        </w:tc>
        <w:tc>
          <w:tcPr>
            <w:tcW w:w="5018" w:type="dxa"/>
            <w:tcBorders>
              <w:top w:val="single" w:sz="6" w:space="0" w:color="000000"/>
              <w:left w:val="single" w:sz="6" w:space="0" w:color="000000"/>
              <w:bottom w:val="single" w:sz="6" w:space="0" w:color="000000"/>
              <w:right w:val="single" w:sz="6" w:space="0" w:color="000000"/>
            </w:tcBorders>
          </w:tcPr>
          <w:p>
            <w:pPr>
              <w:jc w:val="both"/>
              <w:rPr>
                <w:rFonts w:ascii="Calibri" w:hAnsi="Calibri" w:cs="Calibri"/>
                <w:sz w:val="22"/>
                <w:szCs w:val="22"/>
              </w:rPr>
            </w:pPr>
            <w:bookmarkStart w:id="8" w:name="_Hlk226386247"/>
            <w:r>
              <w:rPr>
                <w:rFonts w:ascii="Calibri" w:hAnsi="Calibri" w:cs="Calibri"/>
                <w:sz w:val="22"/>
                <w:szCs w:val="22"/>
                <w:lang w:eastAsia="ro-RO"/>
              </w:rPr>
              <w:t xml:space="preserve">Se va completa și prezenta DUAE - "Criterii de selectie" </w:t>
            </w:r>
            <w:r>
              <w:rPr>
                <w:rFonts w:ascii="Calibri" w:hAnsi="Calibri" w:cs="Calibri"/>
                <w:sz w:val="22"/>
                <w:szCs w:val="22"/>
              </w:rPr>
              <w:t>– Sectiunea B. Capacitatea economica și financiara – Subsectiunea „</w:t>
            </w:r>
            <w:r>
              <w:rPr>
                <w:rFonts w:ascii="Calibri" w:hAnsi="Calibri" w:cs="Calibri"/>
                <w:i/>
                <w:iCs/>
                <w:sz w:val="22"/>
                <w:szCs w:val="22"/>
              </w:rPr>
              <w:t>Cifra de afaceri medie anuala</w:t>
            </w:r>
            <w:r>
              <w:rPr>
                <w:rFonts w:ascii="Calibri" w:hAnsi="Calibri" w:cs="Calibri"/>
                <w:sz w:val="22"/>
                <w:szCs w:val="22"/>
              </w:rPr>
              <w:t>”</w:t>
            </w:r>
          </w:p>
          <w:p>
            <w:pPr>
              <w:jc w:val="both"/>
              <w:rPr>
                <w:rFonts w:ascii="Calibri" w:hAnsi="Calibri" w:cs="Calibri"/>
                <w:sz w:val="22"/>
                <w:szCs w:val="22"/>
                <w:lang w:eastAsia="ro-RO"/>
              </w:rPr>
            </w:pPr>
            <w:r>
              <w:rPr>
                <w:rFonts w:ascii="Calibri" w:hAnsi="Calibri" w:cs="Calibri"/>
                <w:sz w:val="22"/>
                <w:szCs w:val="22"/>
                <w:lang w:eastAsia="ro-RO"/>
              </w:rPr>
              <w:t>Operatorii economici care depun oferta in asociere vor depune câte un DUAE pentru fiecare dintre membrii asocierii.</w:t>
            </w:r>
          </w:p>
          <w:p>
            <w:pPr>
              <w:jc w:val="both"/>
              <w:rPr>
                <w:rFonts w:ascii="Calibri" w:hAnsi="Calibri" w:cs="Calibri"/>
                <w:sz w:val="22"/>
                <w:szCs w:val="22"/>
                <w:lang w:eastAsia="ro-RO"/>
              </w:rPr>
            </w:pPr>
            <w:r>
              <w:rPr>
                <w:rFonts w:ascii="Calibri" w:hAnsi="Calibri" w:cs="Calibri"/>
                <w:sz w:val="22"/>
                <w:szCs w:val="22"/>
                <w:lang w:eastAsia="ro-RO"/>
              </w:rPr>
              <w:t xml:space="preserve">Operatorii economici care se bazeaza pe capacitatile altor entitati (terti sustinatori) vor completa un DUAE propriu și câte un DUAE separat pentru fiecare dintre entitatile pe care se bazeaza. </w:t>
            </w:r>
          </w:p>
          <w:p>
            <w:pPr>
              <w:jc w:val="both"/>
              <w:rPr>
                <w:rFonts w:ascii="Calibri" w:hAnsi="Calibri" w:cs="Calibri"/>
                <w:sz w:val="22"/>
                <w:szCs w:val="22"/>
                <w:lang w:eastAsia="ro-RO"/>
              </w:rPr>
            </w:pPr>
            <w:r>
              <w:rPr>
                <w:rFonts w:ascii="Calibri" w:hAnsi="Calibri" w:cs="Calibri"/>
                <w:sz w:val="22"/>
                <w:szCs w:val="22"/>
                <w:lang w:eastAsia="ro-RO"/>
              </w:rPr>
              <w:t>La solicitarea entitatii contractante, ofertantul situat pe primul loc în clasamentul realizat dupa evaluarea tuturor ofertelor depuse, conform criteriului de atribuire, va prezenta, in vederea probarii celor asumate prin DUAE, urmatoarele documente doveditoare:</w:t>
            </w:r>
          </w:p>
          <w:p>
            <w:pPr>
              <w:jc w:val="both"/>
              <w:rPr>
                <w:rFonts w:ascii="Calibri" w:hAnsi="Calibri" w:cs="Calibri"/>
                <w:sz w:val="22"/>
                <w:szCs w:val="22"/>
                <w:lang w:eastAsia="ro-RO"/>
              </w:rPr>
            </w:pPr>
            <w:r>
              <w:rPr>
                <w:rFonts w:ascii="Calibri" w:hAnsi="Calibri" w:cs="Calibri"/>
                <w:sz w:val="22"/>
                <w:szCs w:val="22"/>
                <w:lang w:eastAsia="ro-RO"/>
              </w:rPr>
              <w:t>- Bilanturile contabile aferente exercitiilor financiare incheiate pe ultimii 3 ani (</w:t>
            </w:r>
            <w:r>
              <w:rPr>
                <w:rFonts w:ascii="Calibri" w:hAnsi="Calibri" w:cs="Calibri"/>
                <w:b/>
                <w:bCs/>
                <w:sz w:val="22"/>
                <w:szCs w:val="22"/>
                <w:lang w:eastAsia="ro-RO"/>
              </w:rPr>
              <w:t>2023, 2024, 2025</w:t>
            </w:r>
            <w:r>
              <w:rPr>
                <w:rFonts w:ascii="Calibri" w:hAnsi="Calibri" w:cs="Calibri"/>
                <w:sz w:val="22"/>
                <w:szCs w:val="22"/>
                <w:lang w:eastAsia="ro-RO"/>
              </w:rPr>
              <w:t>) sau extrase de bilant, inregistrate la organele competente, din care sa rezulte cifra de afaceri medie globala, sau alte documente edificatoare (de ex. rapoarte de audit) din care sa rezulte informatiile solicitate.</w:t>
            </w:r>
          </w:p>
          <w:p>
            <w:pPr>
              <w:jc w:val="both"/>
              <w:rPr>
                <w:rFonts w:ascii="Calibri" w:hAnsi="Calibri" w:cs="Calibri"/>
                <w:sz w:val="22"/>
                <w:szCs w:val="22"/>
                <w:lang w:eastAsia="ro-RO"/>
              </w:rPr>
            </w:pPr>
            <w:r>
              <w:rPr>
                <w:rFonts w:ascii="Calibri" w:hAnsi="Calibri" w:cs="Calibri"/>
                <w:sz w:val="22"/>
                <w:szCs w:val="22"/>
                <w:lang w:eastAsia="ro-RO"/>
              </w:rPr>
              <w:t xml:space="preserve">Pentru operatorii economici nerezidenti, în masura în care publicarea bilanturilor contabile nu este prevazuta de legislatia tarii de origine/tarii în care este stabilit operatorul economic, atunci acesta va prezenta alte documente edificatoare care sa reflecte o imagine fidela a situatiei sale economice și financiare. </w:t>
            </w:r>
          </w:p>
          <w:p>
            <w:pPr>
              <w:jc w:val="both"/>
              <w:rPr>
                <w:rFonts w:ascii="Calibri" w:hAnsi="Calibri" w:cs="Calibri"/>
                <w:sz w:val="22"/>
                <w:szCs w:val="22"/>
                <w:lang w:eastAsia="ro-RO"/>
              </w:rPr>
            </w:pPr>
            <w:r>
              <w:rPr>
                <w:rFonts w:ascii="Calibri" w:hAnsi="Calibri" w:cs="Calibri"/>
                <w:sz w:val="22"/>
                <w:szCs w:val="22"/>
                <w:lang w:eastAsia="ro-RO"/>
              </w:rPr>
              <w:lastRenderedPageBreak/>
              <w:t>Documentele doveditoare vor fi însotite, daca este cazul, de traducerea autorizata în limba româna.</w:t>
            </w:r>
          </w:p>
          <w:p>
            <w:pPr>
              <w:jc w:val="both"/>
              <w:rPr>
                <w:rFonts w:ascii="Calibri" w:hAnsi="Calibri" w:cs="Calibri"/>
                <w:sz w:val="22"/>
                <w:szCs w:val="22"/>
                <w:lang w:eastAsia="ro-RO"/>
              </w:rPr>
            </w:pPr>
            <w:r>
              <w:rPr>
                <w:rFonts w:ascii="Calibri" w:hAnsi="Calibri" w:cs="Calibri"/>
                <w:sz w:val="22"/>
                <w:szCs w:val="22"/>
                <w:lang w:eastAsia="ro-RO"/>
              </w:rPr>
              <w:t xml:space="preserve">In cazul in care ofertantul isi demonstreaza situatia economica și financiara invocand și sustinerea acordata de catre o alta entitate, conform art. 182 din Legea 98/2016, atunci are obligatia de a dovedi sustinerea de care beneficiaza, prin prezentarea unui angajament ferm al entitatii respective, completat conform </w:t>
            </w:r>
            <w:r>
              <w:rPr>
                <w:rFonts w:ascii="Calibri" w:hAnsi="Calibri" w:cs="Calibri"/>
                <w:b/>
                <w:bCs/>
                <w:sz w:val="22"/>
                <w:szCs w:val="22"/>
                <w:lang w:eastAsia="ro-RO"/>
              </w:rPr>
              <w:t>Formularului nr. 7 - Angajament privind sustinerea economico-financiara</w:t>
            </w:r>
            <w:r>
              <w:rPr>
                <w:rFonts w:ascii="Calibri" w:hAnsi="Calibri" w:cs="Calibri"/>
                <w:sz w:val="22"/>
                <w:szCs w:val="22"/>
                <w:lang w:eastAsia="ro-RO"/>
              </w:rPr>
              <w:t>, din care trebuie sa rezulte modul efectiv în care se va asigura îndeplinirea angajamentului, prin care entitatea respectivă confirma faptul ca va pune la dispozitie ofertantului resursele financiare invocate, tinand cont de prevederile art.50 din HG 395/2016.</w:t>
            </w:r>
          </w:p>
          <w:p>
            <w:pPr>
              <w:jc w:val="both"/>
              <w:rPr>
                <w:rFonts w:ascii="Calibri" w:hAnsi="Calibri" w:cs="Calibri"/>
                <w:sz w:val="22"/>
                <w:szCs w:val="22"/>
                <w:lang w:eastAsia="ro-RO"/>
              </w:rPr>
            </w:pPr>
            <w:r>
              <w:rPr>
                <w:rFonts w:ascii="Calibri" w:hAnsi="Calibri" w:cs="Calibri"/>
                <w:sz w:val="22"/>
                <w:szCs w:val="22"/>
                <w:lang w:eastAsia="ro-RO"/>
              </w:rPr>
              <w:t>Persoana care asigura sustinerea financiara nu trebuie sa se afle in situatii care determina excluderea din procedura de atribuire conform prevederilor art. 164, art. 165 și art. 167 din Legea nr. 98/2016.</w:t>
            </w:r>
          </w:p>
          <w:p>
            <w:pPr>
              <w:jc w:val="both"/>
              <w:rPr>
                <w:rFonts w:ascii="Calibri" w:hAnsi="Calibri" w:cs="Calibri"/>
                <w:sz w:val="22"/>
                <w:szCs w:val="22"/>
                <w:lang w:eastAsia="ro-RO"/>
              </w:rPr>
            </w:pPr>
            <w:r>
              <w:rPr>
                <w:rFonts w:ascii="Calibri" w:hAnsi="Calibri" w:cs="Calibri"/>
                <w:sz w:val="22"/>
                <w:szCs w:val="22"/>
                <w:lang w:eastAsia="ro-RO"/>
              </w:rPr>
              <w:t>Odata cu depunerea DUAE, operatorii economici vor prezenta angajamentul tertului sustinator (impreuna cu documentele anexe la angajament, transmise acestora de catre terțul susinator, cat și documente edificatoare cu privire la resursele economico-financiare care urmează a fi efectiv puse la dispoziţia ofertantului, pentru îndeplinirea contractului de achiziţie sectoriala, din care sa rezulte modul efectiv in care se va materializa sustinerea acestuia).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Calibri" w:hAnsi="Calibri" w:cs="Calibri"/>
                <w:sz w:val="22"/>
                <w:szCs w:val="22"/>
              </w:rPr>
              <w:t>Prin angajamentul ferm (</w:t>
            </w:r>
            <w:r>
              <w:rPr>
                <w:rFonts w:ascii="Calibri" w:hAnsi="Calibri" w:cs="Calibri"/>
                <w:b/>
                <w:bCs/>
                <w:sz w:val="22"/>
                <w:szCs w:val="22"/>
                <w:lang w:eastAsia="ro-RO"/>
              </w:rPr>
              <w:t>Formularul nr. 7</w:t>
            </w:r>
            <w:r>
              <w:rPr>
                <w:rFonts w:ascii="Calibri" w:eastAsia="Calibri" w:hAnsi="Calibri" w:cs="Calibri"/>
                <w:sz w:val="22"/>
                <w:szCs w:val="22"/>
              </w:rPr>
              <w:t>), fiecare terț susținător va confirma faptul că va sprijini ofertantul în vederea îndeplinirii obligațiilor contractuale, prin precizarea modului în care va interveni concret pentru a duce la îndeplinire obligațiile pentru care a acordat susținerea și prin indicarea resurselor financiare pe care le va pune la dispoziție ofertantului. Tertul sustinator va raspunde in mod solidar cu ofertantul, in mod neconditionat, fata de entitatea contractanta, pentru neexecutarea oricarei obligatii asumate de ofertant, in baza contractului sectorial, și pentru care acesta din urma a primit sustinerea economica și financiara conform angajamentului sus menționat, renuntand in acest sens, definitiv și irevocabil, la invocarea beneficiului de diviziune și discutiune.</w:t>
            </w:r>
            <w:bookmarkEnd w:id="8"/>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bookmarkStart w:id="9" w:name="_Hlk531610402"/>
            <w:bookmarkEnd w:id="9"/>
            <w:r>
              <w:rPr>
                <w:rFonts w:ascii="Calibri" w:eastAsiaTheme="minorHAnsi" w:hAnsi="Calibri" w:cs="Calibri"/>
                <w:b/>
                <w:bCs/>
                <w:noProof w:val="0"/>
                <w:sz w:val="22"/>
                <w:szCs w:val="22"/>
                <w:lang w:eastAsia="en-US"/>
              </w:rPr>
              <w:lastRenderedPageBreak/>
              <w:t>III.1.3.a) Capacitatea tehnică şi/sau profesională</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i/>
                <w:iCs/>
                <w:noProof w:val="0"/>
                <w:sz w:val="22"/>
                <w:szCs w:val="22"/>
                <w:lang w:eastAsia="en-US"/>
              </w:rPr>
            </w:pPr>
            <w:r>
              <w:rPr>
                <w:rFonts w:ascii="Calibri" w:eastAsiaTheme="minorHAnsi" w:hAnsi="Calibri" w:cs="Calibri"/>
                <w:i/>
                <w:iCs/>
                <w:noProof w:val="0"/>
                <w:sz w:val="22"/>
                <w:szCs w:val="22"/>
                <w:lang w:eastAsia="en-US"/>
              </w:rPr>
              <w:t xml:space="preserve">Informaţii şi/său nivel(urî) minim(e) necesare pentru evaluarea respectării cerinţelor menţionate </w:t>
            </w:r>
          </w:p>
        </w:tc>
        <w:tc>
          <w:tcPr>
            <w:tcW w:w="5018"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i/>
                <w:iCs/>
                <w:noProof w:val="0"/>
                <w:sz w:val="22"/>
                <w:szCs w:val="22"/>
                <w:lang w:eastAsia="en-US"/>
              </w:rPr>
            </w:pPr>
            <w:r>
              <w:rPr>
                <w:rFonts w:ascii="Calibri" w:eastAsiaTheme="minorHAnsi" w:hAnsi="Calibri" w:cs="Calibri"/>
                <w:i/>
                <w:iCs/>
                <w:noProof w:val="0"/>
                <w:sz w:val="22"/>
                <w:szCs w:val="22"/>
                <w:lang w:eastAsia="en-US"/>
              </w:rPr>
              <w:t>Modalitatea de îndeplinire:</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bookmarkStart w:id="10" w:name="_Hlk531610422"/>
            <w:bookmarkEnd w:id="10"/>
            <w:r>
              <w:rPr>
                <w:rFonts w:ascii="Calibri" w:eastAsiaTheme="minorHAnsi" w:hAnsi="Calibri" w:cs="Calibri"/>
                <w:b/>
                <w:bCs/>
                <w:noProof w:val="0"/>
                <w:sz w:val="22"/>
                <w:szCs w:val="22"/>
                <w:u w:val="single"/>
                <w:lang w:eastAsia="en-US"/>
              </w:rPr>
              <w:t>Cerinţa 1: Experienţa similară - Proiectare</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Ofertanții trebuie să demonstreze că au prestat în mod corespunzător şi au dus la bun sfârşit, în ultimii 3 ani, împliniți la data termenului-limită de depunere a ofertelor, </w:t>
            </w:r>
            <w:r>
              <w:rPr>
                <w:rFonts w:ascii="Calibri" w:eastAsiaTheme="minorHAnsi" w:hAnsi="Calibri" w:cs="Calibri"/>
                <w:b/>
                <w:bCs/>
                <w:noProof w:val="0"/>
                <w:sz w:val="22"/>
                <w:szCs w:val="22"/>
                <w:lang w:eastAsia="en-US"/>
              </w:rPr>
              <w:t>servicii de proiectare privind instalaţii de tratare/gestionare a deşeurilor</w:t>
            </w:r>
            <w:r>
              <w:rPr>
                <w:rFonts w:ascii="Calibri" w:eastAsiaTheme="minorHAnsi" w:hAnsi="Calibri" w:cs="Calibri"/>
                <w:noProof w:val="0"/>
                <w:sz w:val="22"/>
                <w:szCs w:val="22"/>
                <w:lang w:eastAsia="en-US"/>
              </w:rPr>
              <w:t xml:space="preserve"> cu o </w:t>
            </w:r>
            <w:r>
              <w:rPr>
                <w:rFonts w:ascii="Calibri" w:eastAsiaTheme="minorHAnsi" w:hAnsi="Calibri" w:cs="Calibri"/>
                <w:noProof w:val="0"/>
                <w:sz w:val="22"/>
                <w:szCs w:val="22"/>
                <w:lang w:eastAsia="en-US"/>
              </w:rPr>
              <w:lastRenderedPageBreak/>
              <w:t>valoare cumulată de minimum 9.500.000 RON, fără TVA, la nivelul a maximum 5 contracte.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Ofertanții trebuie să demonstreze că au prestat în mod corespunzător şi au dus la bun sfârşit, în ultimii 3 ani, împliniți la data termenului-limită de depunere a ofertelor, servicii de proiectare privind:</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cel puţin o instalaţie de tratare mecanică a deşeurilor reciclabite colectate separat şi/sau a deşeurilor reziduale, având o complexitate similară instalaţiei ce face obiectul procedurii de atribuire. În acest sens, următoarele instalaţii sunt considerate a avea un nivel de complexitate similar cu cel al instalaţiei care face obiectul procedurii de atribuire: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în cazul instalaţiilor de tratare mecanică a deşeurilor reciclabile colectate separat, acele instalaţii care includ tehnologii de sortare prin mijloace optice/inteligenţă artificială și care au o eficienţă proiectată de sortare mai mare de 80% din totalul intrărilor;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în cazul instalaţiilor de tratare mecanică a deşeurilor reziduale, acele instalaţii care includ tehnologii de sortare prin mijloace optice/inteligenţă artificială și care au o eficienţă proiectată de sortare a deşeurilor reciclabile mai mare de 10% din totalul intrărilor;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SAU</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cel puţin o instalaţie de tratare anaerobă a  bio-deşeurilor colectate separat şi/sau a bio-deşeurilor din deşeurile reziduale.</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Prin servicii duse la bun sfarsit in cadrul perioadei de 3 ani se intelege: -servicii receptionate partial, cu conditia ca specificul contractului/ activitatilor ce reprezinta experienta similara sa permita elaborarea unui livrabil care sa poata fi utilizat de beneficiar ca rezultat independent; -servicii receptionate la sfarsitul prestarii; sfarsitul prestarii nu presupune expirarea perioadei de garantie, respectiv a perioadei de notificare a defectelor in cadrul contractelor de tip FIDIC.</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highlight w:val="yellow"/>
                <w:lang w:eastAsia="en-US"/>
              </w:rPr>
            </w:pPr>
            <w:r>
              <w:rPr>
                <w:rFonts w:ascii="Calibri" w:eastAsiaTheme="minorHAnsi" w:hAnsi="Calibri" w:cs="Calibri"/>
                <w:noProof w:val="0"/>
                <w:sz w:val="22"/>
                <w:szCs w:val="22"/>
                <w:lang w:eastAsia="en-US"/>
              </w:rPr>
              <w:t xml:space="preserve">In situatia in care se decaleaza data limita de depunere a ofertelor și se stabilește un nou termen limita, prin publicarea unui anunt de schimbare, în SEAP, limita inferioara a perioadei de 3 ani se extinde cu perioada de timp aferenta decalarii, urmand a fi considerata indeplinita cerinta pentru toti operatorii economici care au prezentat dovada finalizarii contractului de experienta similara in intervalul de timp nou rezultat. </w:t>
            </w:r>
          </w:p>
          <w:p>
            <w:pPr>
              <w:suppressAutoHyphens w:val="0"/>
              <w:autoSpaceDE w:val="0"/>
              <w:autoSpaceDN w:val="0"/>
              <w:adjustRightInd w:val="0"/>
              <w:jc w:val="both"/>
              <w:rPr>
                <w:rFonts w:ascii="Calibri" w:eastAsiaTheme="minorHAnsi" w:hAnsi="Calibri" w:cs="Calibri"/>
                <w:noProof w:val="0"/>
                <w:sz w:val="22"/>
                <w:szCs w:val="22"/>
                <w:highlight w:val="yellow"/>
                <w:lang w:eastAsia="en-US"/>
              </w:rPr>
            </w:pPr>
          </w:p>
          <w:p>
            <w:pPr>
              <w:suppressAutoHyphens w:val="0"/>
              <w:autoSpaceDE w:val="0"/>
              <w:autoSpaceDN w:val="0"/>
              <w:adjustRightInd w:val="0"/>
              <w:jc w:val="both"/>
              <w:rPr>
                <w:rFonts w:ascii="Calibri" w:eastAsiaTheme="minorHAnsi" w:hAnsi="Calibri" w:cs="Calibri"/>
                <w:noProof w:val="0"/>
                <w:sz w:val="22"/>
                <w:szCs w:val="22"/>
                <w:highlight w:val="yellow"/>
                <w:lang w:eastAsia="en-US"/>
              </w:rPr>
            </w:pPr>
          </w:p>
        </w:tc>
        <w:tc>
          <w:tcPr>
            <w:tcW w:w="5018" w:type="dxa"/>
            <w:tcBorders>
              <w:top w:val="single" w:sz="6" w:space="0" w:color="000000"/>
              <w:left w:val="single" w:sz="6" w:space="0" w:color="000000"/>
              <w:bottom w:val="single" w:sz="6" w:space="0" w:color="000000"/>
              <w:right w:val="single" w:sz="6" w:space="0" w:color="000000"/>
            </w:tcBorders>
          </w:tcPr>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lastRenderedPageBreak/>
              <w:t xml:space="preserve">Se va completa și prezenta DUAE - "Criterii de selectie" - Sectiunea C. Capacitatea tehnica și profesionala. - Ofertantul va completa datele privind indeplinirea cerintei de experienta similara in formularul DUAE din SEAP.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lastRenderedPageBreak/>
              <w:t xml:space="preserve">Operatorii economici participanți la procedura de atribuire vor completa DUAE cu informațiile ce descriu nivelul lor de experiență, prin raportare la contractele executate în trecut, corespunzător cerințelor autorității contractante.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In cadrul DUAE, va fi prezentata lista serviciilor similare prestate, ce va cuprinde urmatoarele informatii: -Obiectul, numarul și data semnarii contractului de servicii invocat drept experienta similara, -Beneficiarul contractului și datele de contact ale acestuia, -Valoarea fara TVA a contractului, -Valoarea fara TVA a serviciilor din cadrul contractului ce sunt invocate drept experienta similara, in cazul in care obiectul contractului invocat excede serviciilor similare obiectului procedurii de achizitie, dupa caz, -Ponderea pentru care operatorul economic a fost responsabil in cadrul contractului invocat, dupa caz, -Numarul și data documentului care confirma receptionarea de către beneficiar a serviciilor invocate drept experienta similara, in perioada de referinta.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Pentru conversia din alte valute se va aplica cursul mediu anual leu/valuta comunicat de BNR pentru anul in care a fost incheiat contractul invocat ca experienta similara.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Următoarele documente justificative care probează îndeplinirea cerinței vor fi prezentate, la solicitarea autorității contractante, doar de către ofertantul clasat pe primul loc în clasamentul intermediar întocmit la finalizarea evaluării ofertelor: -Copii dupa parti relevante ale contractelor indeplinite; -certificate de predare-primire -Documente care sa demonstreze ca ofertantul a prestat serviciile similare din cadrul contractelor invocate, cum ar fi: -Procese verbale de receptie,  certificate constatatoare, Recomandari sau alte documente din care să reiasă următoarele informații: beneficiarul, cantitatea/valoarea, perioada și locul prestarii. Documentele doveditoare vor fi însoțite, dacă este cazul, de traducerea autorizată în limba română.</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In cazul in care un grup de operatori economici depune oferta comuna, atunci indeplinirea cerintei privind "experienta similara” se demonstreaza prin luarea in considerare a resurselor tuturor membrilor grupului. În acest caz, fiecare asociat este obligat sa prezinte documentele doveditoare.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Operatorii economici care depun oferta in asociere vor prezenta câte un DUAE pentru fiecare dintre membrii asocierii.</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In cazul in care ofertantul isi demonstreaza capacitatea tehnica și profesionala invocand și </w:t>
            </w:r>
            <w:r>
              <w:rPr>
                <w:rFonts w:ascii="Calibri" w:eastAsia="PMingLiU" w:hAnsi="Calibri" w:cs="Calibri"/>
                <w:noProof w:val="0"/>
                <w:sz w:val="22"/>
                <w:szCs w:val="22"/>
                <w:lang w:eastAsia="ro-RO"/>
              </w:rPr>
              <w:lastRenderedPageBreak/>
              <w:t xml:space="preserve">sustinerea acordata de catre o alta entitate, conform art. 182 din Legea 98/2016, atunci are obligatia de a dovedi sustinerea de care beneficiaza, prin prezentarea unui angajament ferm al entiitatii respective, completat conform </w:t>
            </w:r>
            <w:r>
              <w:rPr>
                <w:rFonts w:ascii="Calibri" w:eastAsia="PMingLiU" w:hAnsi="Calibri" w:cs="Calibri"/>
                <w:b/>
                <w:bCs/>
                <w:noProof w:val="0"/>
                <w:sz w:val="22"/>
                <w:szCs w:val="22"/>
                <w:lang w:eastAsia="ro-RO"/>
              </w:rPr>
              <w:t>Formularului nr. 8 - Angajament privind sustinerea tehnica și profesionala</w:t>
            </w:r>
            <w:r>
              <w:rPr>
                <w:rFonts w:ascii="Calibri" w:eastAsia="PMingLiU" w:hAnsi="Calibri" w:cs="Calibri"/>
                <w:noProof w:val="0"/>
                <w:sz w:val="22"/>
                <w:szCs w:val="22"/>
                <w:lang w:eastAsia="ro-RO"/>
              </w:rPr>
              <w:t>, din care trebuie sa rezulte modul efectiv în care va asigura îndeplinirea angajamentului, prin care entitatea respectivă  confirma faptul ca va pune la dispozitia ofertantului resursele tehnice și profesionale invocate, tinand cont de prevederile art.50 din HG 395/2016.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xml:space="preserve">Terții susținători </w:t>
            </w:r>
            <w:r>
              <w:rPr>
                <w:rFonts w:ascii="Calibri" w:eastAsia="PMingLiU" w:hAnsi="Calibri" w:cs="Calibri"/>
                <w:noProof w:val="0"/>
                <w:sz w:val="22"/>
                <w:szCs w:val="22"/>
                <w:lang w:eastAsia="ro-RO"/>
              </w:rPr>
              <w:t>vor completa DUAE cu informațiile ce descriu nivelul lor de experiență, prin raportare la contractele executate în trecut, corespunzător cerințelor autorității contractante.</w:t>
            </w:r>
            <w:r>
              <w:rPr>
                <w:rFonts w:ascii="Calibri" w:hAnsi="Calibri" w:cs="Calibri"/>
                <w:sz w:val="22"/>
                <w:szCs w:val="22"/>
                <w:lang w:eastAsia="ro-RO"/>
              </w:rPr>
              <w:t xml:space="preserve"> Din informatiile prezentate in DUAE trebuie sa reiasa: nume Beneficiar, date de contact, nume contractant, date identificare, denumirea și nr. contractului, data semnării contractului, obiectul contractului, valoarea contractului, valoarea serviciilor duse la bun sfarsit de operatorul economic în cadrul contractului (lei fara TVA), rolul (contractant unic/ contractant lider/ contractant asociat/ subcontractant), procentul realizat de operatorul economic, perioada de prestare a serviciilor (date de incepere și finalizare), date de identificare ale documentului care atesta că serviciile au fost duse la bun sfârșit. În cazul serviciilor recepționate parțial, se vor preciza datele de identificare ale documentului care atestă recepția.</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Persoana care asigura sustinerea tehnica nu trebuie sa se afle in situatii care determina excluderea din procedura de atribuire conform prevederilor art. 164, art. 165 și art. 167 din Legea nr. 98/2016.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Prin angajamentul ferm, tertul se va angaja că va răspunde în mod solidar cu ofertantul pentru executarea contractului de achizitie sectoriala. Raspunderea solidara a tertului sustinator se va angaja sub conditia neîndeplinirii de catre acesta a obligatiilor de sustinere asumate prin angajament.</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Odata cu depunerea DUAE, operatorii economici vor prezenta angajamentul tertului sustinator (impreuna cu documentele anexe la angajament, transmise acestora de catre terțul/tertii susținator/i, din care sa rezulte modul efectiv in care se va materializa sustinerea acestuia/acestora).</w:t>
            </w:r>
          </w:p>
          <w:p>
            <w:pPr>
              <w:suppressAutoHyphens w:val="0"/>
              <w:jc w:val="both"/>
              <w:rPr>
                <w:rFonts w:ascii="Calibri" w:hAnsi="Calibri" w:cs="Calibri"/>
                <w:sz w:val="22"/>
                <w:szCs w:val="22"/>
                <w:lang w:eastAsia="ro-RO"/>
              </w:rPr>
            </w:pPr>
            <w:r>
              <w:rPr>
                <w:rFonts w:ascii="Calibri" w:hAnsi="Calibri" w:cs="Calibri"/>
                <w:sz w:val="22"/>
                <w:szCs w:val="22"/>
                <w:lang w:eastAsia="ro-RO"/>
              </w:rPr>
              <w:t xml:space="preserve">Tertul/tertii sustinator/i va/vor raspunde in mod solidar cu ofertantul, in mod neconditionat, fata de Entitatea Contractanta, pentru neexecutarea oricarei obligatii asumate de Ofertant, in baza contractului sectorial și pentru care acesta din urma a primit sustinerea tehnica și profesionala conform </w:t>
            </w:r>
            <w:r>
              <w:rPr>
                <w:rFonts w:ascii="Calibri" w:hAnsi="Calibri" w:cs="Calibri"/>
                <w:sz w:val="22"/>
                <w:szCs w:val="22"/>
                <w:lang w:eastAsia="ro-RO"/>
              </w:rPr>
              <w:lastRenderedPageBreak/>
              <w:t>angajamentului sus menționat, renuntand in acest sens, definitiv și irevocabil, la invocarea beneficiului de diviziune și discutiune.</w:t>
            </w:r>
          </w:p>
          <w:p>
            <w:pPr>
              <w:suppressAutoHyphens w:val="0"/>
              <w:jc w:val="both"/>
              <w:rPr>
                <w:rFonts w:ascii="Calibri" w:hAnsi="Calibri" w:cs="Calibri"/>
                <w:sz w:val="22"/>
                <w:szCs w:val="22"/>
                <w:lang w:eastAsia="ro-RO"/>
              </w:rPr>
            </w:pPr>
          </w:p>
          <w:p>
            <w:pPr>
              <w:shd w:val="clear" w:color="auto" w:fill="FFFFFF"/>
              <w:jc w:val="both"/>
              <w:rPr>
                <w:rFonts w:ascii="Calibri" w:hAnsi="Calibri" w:cs="Calibri"/>
                <w:iCs/>
                <w:sz w:val="22"/>
                <w:szCs w:val="22"/>
              </w:rPr>
            </w:pPr>
            <w:r>
              <w:rPr>
                <w:rFonts w:ascii="Calibri" w:hAnsi="Calibri" w:cs="Calibri"/>
                <w:iCs/>
                <w:sz w:val="22"/>
                <w:szCs w:val="22"/>
              </w:rPr>
              <w:t>În cazul în care numărul de caractere care poate fi introdus în această secțiune este limitat de SICAP, se va introduce aici următorul text:</w:t>
            </w:r>
          </w:p>
          <w:p>
            <w:pPr>
              <w:suppressAutoHyphens w:val="0"/>
              <w:jc w:val="both"/>
              <w:rPr>
                <w:rFonts w:ascii="Calibri" w:hAnsi="Calibri" w:cs="Calibri"/>
                <w:sz w:val="22"/>
                <w:szCs w:val="22"/>
                <w:lang w:eastAsia="ro-RO"/>
              </w:rPr>
            </w:pPr>
            <w:r>
              <w:rPr>
                <w:rFonts w:ascii="Calibri" w:hAnsi="Calibri" w:cs="Calibri"/>
                <w:sz w:val="22"/>
                <w:szCs w:val="22"/>
                <w:lang w:eastAsia="ro-RO"/>
              </w:rPr>
              <w:t>Din motive obiective (numarul de caractere fiind limitat), informatii suplimentare referitoare la modalitatea de indeplinire de la III.1 CONDIŢII DE PARTICIPARE, III.1.3.a) „Capacitatea tehnică si/sau profesională” se regasesc in Sectiunea VI.3) „Informaţii suplimentare”.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iar textul excedentar va fi adăugat în Sectiunea VI.3) „Informaţii suplimentare”, cu precizarea:</w:t>
            </w:r>
          </w:p>
          <w:p>
            <w:pPr>
              <w:suppressAutoHyphens w:val="0"/>
              <w:jc w:val="both"/>
              <w:rPr>
                <w:rFonts w:ascii="Calibri" w:hAnsi="Calibri" w:cs="Calibri"/>
                <w:sz w:val="22"/>
                <w:szCs w:val="22"/>
                <w:lang w:eastAsia="ro-RO"/>
              </w:rPr>
            </w:pPr>
            <w:r>
              <w:rPr>
                <w:rFonts w:ascii="Calibri" w:hAnsi="Calibri" w:cs="Calibri"/>
                <w:b/>
                <w:bCs/>
                <w:sz w:val="22"/>
                <w:szCs w:val="22"/>
                <w:lang w:eastAsia="ro-RO"/>
              </w:rPr>
              <w:t xml:space="preserve">Completare </w:t>
            </w:r>
            <w:r>
              <w:rPr>
                <w:rFonts w:ascii="Calibri" w:eastAsiaTheme="minorHAnsi" w:hAnsi="Calibri" w:cs="Calibri"/>
                <w:b/>
                <w:bCs/>
                <w:noProof w:val="0"/>
                <w:sz w:val="22"/>
                <w:szCs w:val="22"/>
                <w:lang w:eastAsia="en-US"/>
              </w:rPr>
              <w:t>III.1.3.a) Capacitatea tehnică şi/sau profesională</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u w:val="single"/>
                <w:lang w:eastAsia="en-US"/>
              </w:rPr>
              <w:lastRenderedPageBreak/>
              <w:t>Cerinţa 2: Experienţa similară – Execuție lucrări</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xml:space="preserve">Ofertanții trebuie să demonstreze că au executat în mod corespunzător şi au dus la bun sfârşit, în ultimii 7 ani, împliniți la data termenului-limită de depunere a ofertelor, </w:t>
            </w:r>
            <w:r>
              <w:rPr>
                <w:rFonts w:ascii="Calibri" w:hAnsi="Calibri" w:cs="Calibri"/>
                <w:b/>
                <w:bCs/>
                <w:sz w:val="22"/>
                <w:szCs w:val="22"/>
                <w:lang w:eastAsia="ro-RO"/>
              </w:rPr>
              <w:t>lucrări de construcţie privind instalaţii de tratare/gestionare a deşeurilor</w:t>
            </w:r>
            <w:r>
              <w:rPr>
                <w:rFonts w:ascii="Calibri" w:hAnsi="Calibri" w:cs="Calibri"/>
                <w:sz w:val="22"/>
                <w:szCs w:val="22"/>
                <w:lang w:eastAsia="ro-RO"/>
              </w:rPr>
              <w:t xml:space="preserve"> cu o valoare cumulată de minimum 235.000.000 RON, fără TVA, la nivelul a maximum 5 contracte. </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Ofertanții trebuie să demonstreze că au executat în mod corespunzător şi au dus la bun sfârşit, în ultimii 7 ani, împliniți la data termenului-limită de depunere a ofertelor, lucrări de construcţie privind:</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cel puţin o instalaţie de tratare mecanică deşeurilor reciclabile colectate separat şi/sau a deşeurilor reziduale, având o complexitate similară instalaţiei ce face obiectul procedurii de atribuire. În acest sens, următoarele instalaţii sunt considerate a avea un nivel de complexitate similar cu cel al instalaţiei ce face obiectul procedurii de atribuire: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w:t>
            </w:r>
            <w:r>
              <w:rPr>
                <w:rFonts w:ascii="Calibri" w:hAnsi="Calibri" w:cs="Calibri"/>
                <w:sz w:val="22"/>
                <w:szCs w:val="22"/>
                <w:lang w:eastAsia="ro-RO"/>
              </w:rPr>
              <w:tab/>
              <w:t>în cazul instalaţiilor de tratare mecanică a deşeurilor reciclabile colectate separat, acele instalaţii care includ tehnologii de sortare prin mijloace optice/inteligenţă artificială și care au o eficienţă proiectată de sortare mai mare de 80% din totalul intrărilor;</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w:t>
            </w:r>
            <w:r>
              <w:rPr>
                <w:rFonts w:ascii="Calibri" w:hAnsi="Calibri" w:cs="Calibri"/>
                <w:sz w:val="22"/>
                <w:szCs w:val="22"/>
                <w:lang w:eastAsia="ro-RO"/>
              </w:rPr>
              <w:tab/>
              <w:t>în cazul instalaţiilor de tratare mecanică a deşeurilor reziduale, acele instalaţii care includ tehnologii de sortare prin mijloace optice/inteligenţă artificială și care au o eficienţă proiectată de sortare a deşeurilor reciclabile mai mare de 10% din totalul intrărilor;</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SAU</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lastRenderedPageBreak/>
              <w:t>-</w:t>
            </w:r>
            <w:r>
              <w:rPr>
                <w:rFonts w:ascii="Calibri" w:hAnsi="Calibri" w:cs="Calibri"/>
                <w:sz w:val="22"/>
                <w:szCs w:val="22"/>
                <w:lang w:eastAsia="ro-RO"/>
              </w:rPr>
              <w:tab/>
              <w:t>cel puţin o instalaţie de tratare anaerobă a bio-deşeurilor colectate separat şi/sau a bio-deşeurilor din deşeurile reziduale.</w:t>
            </w:r>
          </w:p>
          <w:p>
            <w:pPr>
              <w:suppressAutoHyphens w:val="0"/>
              <w:autoSpaceDE w:val="0"/>
              <w:autoSpaceDN w:val="0"/>
              <w:adjustRightInd w:val="0"/>
              <w:jc w:val="both"/>
              <w:rPr>
                <w:rFonts w:ascii="Calibri" w:hAnsi="Calibri" w:cs="Calibri"/>
                <w:sz w:val="22"/>
                <w:szCs w:val="22"/>
                <w:lang w:eastAsia="ro-RO"/>
              </w:rPr>
            </w:pP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Prin lucrari duse la bun sfarsit in cadrul perioadei de 7 ani se intelege: -lucrari receptionate pe obiecte, care sunt insotite de proces verbal de receptie intocmit in conformitate cu prevederile legale și tehnice din domeniul ăn care se încadrează obiectul contractului; sau -lucrari receptionate insotite de proces-verbal la terminarea lucrarilor; sau -lucrari receptionate insotite de proces-verbal de receptie finala.</w:t>
            </w:r>
          </w:p>
          <w:p>
            <w:pPr>
              <w:suppressAutoHyphens w:val="0"/>
              <w:autoSpaceDE w:val="0"/>
              <w:autoSpaceDN w:val="0"/>
              <w:adjustRightInd w:val="0"/>
              <w:jc w:val="both"/>
              <w:rPr>
                <w:rFonts w:ascii="Calibri" w:hAnsi="Calibri" w:cs="Calibri"/>
                <w:sz w:val="22"/>
                <w:szCs w:val="22"/>
                <w:lang w:eastAsia="ro-RO"/>
              </w:rPr>
            </w:pP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In situatia in care se decaleaza data limita de depunere a ofertelor și se stabilește un nou termen limita, prin publicarea unui anunt de schimbare, în SEAP, limita inferioara a perioadei de 7 ani se extinde cu perioada de timp aferenta decalarii, urmand a fi considerata indeplinita cerinta pentru toti operatorii economici care au prezentat dovada finalizarii contractului de experienta similara in intervalul de timp nou rezultat.</w:t>
            </w:r>
          </w:p>
        </w:tc>
        <w:tc>
          <w:tcPr>
            <w:tcW w:w="5018" w:type="dxa"/>
            <w:tcBorders>
              <w:top w:val="single" w:sz="6" w:space="0" w:color="000000"/>
              <w:left w:val="single" w:sz="6" w:space="0" w:color="000000"/>
              <w:bottom w:val="single" w:sz="6" w:space="0" w:color="000000"/>
              <w:right w:val="single" w:sz="6" w:space="0" w:color="000000"/>
            </w:tcBorders>
          </w:tcPr>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lastRenderedPageBreak/>
              <w:t xml:space="preserve">Se va completa și prezenta DUAE - "Criterii de selectie" - Sectiunea C. Capacitatea tehnica și profesionala. - Ofertantul va completa datele privind indeplinirea cerintei de experienta similara in formularul DUAE din SEAP.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In cadrul DUAE, va fi prezentata lista lucrarilor similare executate, care va cuprinde urmatoarele informatii: -Obiectul, numarul și data semnarii contractului de lucrari invocat drept experienta similara, -Beneficiarul contractului și datele de contact ale acestuia, -Valoarea fara TVA a contractului, -Ponderea pentru care operatorul economic a fost responsabil in cadrul contractului invocat, dupa caz, -Numarul și data documentului care confirma receptionarea lucrarilor invocate drept experienta similara, in perioada de referinta.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Pentru conversia din alte valute se va aplica cursul mediu anual leu/valuta comunicat de BNR pentru anul in care a fost incheiat contractul invocat ca experienta similara. </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Următoarele documente justificative care probează îndeplinirea cerinței vor fi prezentate, la solicitarea autorității contractante, doar de către ofertantul clasat pe primul loc în clasamentul intermediar întocmit la finalizarea evaluării ofertelor: -Copii dupa parti relevante ale contractelor declarate, care sa cuprinda cel putin informatiile completate in DUAE; -proces-verbal de recepție finală/proces-verbal de recepție la terminarea lucrărilor/proces-verbal de recepție pe obiect, întocmite în condițiile actelor normative care reglementează recepția lucrărilor, care să ateste faptul că lucrările au fost executate în conformitate cu normele legale în domeniu și că au fost duse la bun sfârșit și receptionate in perioada de </w:t>
            </w:r>
            <w:r>
              <w:rPr>
                <w:rFonts w:ascii="Calibri" w:eastAsia="PMingLiU" w:hAnsi="Calibri" w:cs="Calibri"/>
                <w:noProof w:val="0"/>
                <w:sz w:val="22"/>
                <w:szCs w:val="22"/>
                <w:lang w:eastAsia="ro-RO"/>
              </w:rPr>
              <w:lastRenderedPageBreak/>
              <w:t xml:space="preserve">referinta (ultimii 7 ani, împliniți la data termenului-limită de depunere a ofertelor) și/sau alte documente (certificari de buna executie; -certificate constatatoare; -Recomandari din partea beneficiarilor) din care sa reiasă următoarele informații: beneficiarul, cantitatea (indicatori tehnici ce caracterizează obiectul lucrării), valoarea, perioada (inclusiv data încheierii contractului) și locul execuției lucrărilor. </w:t>
            </w:r>
            <w:bookmarkStart w:id="11" w:name="_Hlk226456382"/>
            <w:r>
              <w:rPr>
                <w:rFonts w:ascii="Calibri" w:eastAsia="PMingLiU" w:hAnsi="Calibri" w:cs="Calibri"/>
                <w:noProof w:val="0"/>
                <w:sz w:val="22"/>
                <w:szCs w:val="22"/>
                <w:lang w:eastAsia="ro-RO"/>
              </w:rPr>
              <w:t>Documentele doveditoare vor fi însoțite, dacă este cazul, de traducerea autorizată în limba română.</w:t>
            </w:r>
            <w:bookmarkEnd w:id="11"/>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In cazul in care un grup de operatori economici depune oferta comuna, atunci indeplinirea cerintei privind "experienta similara” se demonstreaza prin luarea in considerare a resurselor tuturor membrilor grupului. În acest caz, fiecare asociat este obligat sa prezinte documentele doveditoare.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Operatorii economici care depun oferta in asociere vor prezenta câte un DUAE pentru fiecare dintre membrii asocierii.</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In cazul in care ofertantul isi demonstreaza capacitatea tehnica și profesionala invocand și sustinerea acordata de catre o alta entitate, conform art. 182 din Legea 98/2016, atunci are obligatia de a dovedi sustinerea de care beneficiaza, prin prezentarea unui angajament ferm al entiitatii respective, completat conform </w:t>
            </w:r>
            <w:r>
              <w:rPr>
                <w:rFonts w:ascii="Calibri" w:eastAsia="PMingLiU" w:hAnsi="Calibri" w:cs="Calibri"/>
                <w:b/>
                <w:bCs/>
                <w:noProof w:val="0"/>
                <w:sz w:val="22"/>
                <w:szCs w:val="22"/>
                <w:lang w:eastAsia="ro-RO"/>
              </w:rPr>
              <w:t>Formularului nr. 8 - Angajament privind sustinerea tehnica și profesionala</w:t>
            </w:r>
            <w:r>
              <w:rPr>
                <w:rFonts w:ascii="Calibri" w:eastAsia="PMingLiU" w:hAnsi="Calibri" w:cs="Calibri"/>
                <w:noProof w:val="0"/>
                <w:sz w:val="22"/>
                <w:szCs w:val="22"/>
                <w:lang w:eastAsia="ro-RO"/>
              </w:rPr>
              <w:t>, din care trebuie sa rezulte modul efectiv în care va asigura îndeplinirea angajamentului, prin care entitatea respectivă  confirma faptul ca va pune la dispozitia ofertantului resursele tehnice și profesionale invocate, tinand cont de prevederile art.50 din HG 395/2016.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xml:space="preserve">Terții susținători </w:t>
            </w:r>
            <w:r>
              <w:rPr>
                <w:rFonts w:ascii="Calibri" w:eastAsia="PMingLiU" w:hAnsi="Calibri" w:cs="Calibri"/>
                <w:noProof w:val="0"/>
                <w:sz w:val="22"/>
                <w:szCs w:val="22"/>
                <w:lang w:eastAsia="ro-RO"/>
              </w:rPr>
              <w:t>vor completa DUAE cu informațiile ce descriu nivelul lor de experiență, prin raportare la contractele executate în trecut, corespunzător cerințelor autorității contractante.</w:t>
            </w:r>
            <w:r>
              <w:rPr>
                <w:rFonts w:ascii="Calibri" w:hAnsi="Calibri" w:cs="Calibri"/>
                <w:sz w:val="22"/>
                <w:szCs w:val="22"/>
                <w:lang w:eastAsia="ro-RO"/>
              </w:rPr>
              <w:t xml:space="preserve"> Din informatiile prezentate in DUAE trebuie sa reiasa: nume Beneficiar, date de contact, nume contractant, date identificare, denumirea și nr. contractului, data semnării contractului, obiectul contractului, valoarea contractului, valoarea lucrărilor duse la bun sfarsit de operatorul economic în cadrul contractului (lei fara TVA), rolul (contractant unic/ contractant lider/ contractant asociat/ subcontractant), procentul realizat de operatorul economic, perioada de execuție a lucrărilor (date de incepere și finalizare), date de identificare ale documentului care atesta că execuția lucrărilor a fost dusă la bun sfârșit. În cazul lucrărilor </w:t>
            </w:r>
            <w:r>
              <w:rPr>
                <w:rFonts w:ascii="Calibri" w:hAnsi="Calibri" w:cs="Calibri"/>
                <w:sz w:val="22"/>
                <w:szCs w:val="22"/>
                <w:lang w:eastAsia="ro-RO"/>
              </w:rPr>
              <w:lastRenderedPageBreak/>
              <w:t>recepționate parțial, se vor preciza datele de identificare ale documentului care atestă recepția.</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Persoana care asigura sustinerea tehnica nu trebuie sa se afle in situatii care determina excluderea din procedura de atribuire conform prevederilor art. 164, art. 165 și art. 167 din Legea nr. 98/2016.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Prin angajamentul ferm, tertul se va angaja că va răspunde în mod solidar cu ofertantul pentru executarea contractului de achizitie sectoriala. Raspunderea solidara a tertului sustinator se va angaja sub conditia neîndeplinirii de catre acesta a obligatiilor de sustinere asumate prin angajament.</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Odata cu depunerea DUAE, operatorii economici vor prezenta angajamentul tertului sustinator (impreuna cu documentele anexe la angajament, transmise acestora de catre terțul/tertii susținator/i, din care sa rezulte modul efectiv in care se va materializa sustinerea acestuia/acestora).</w:t>
            </w:r>
          </w:p>
          <w:p>
            <w:pPr>
              <w:suppressAutoHyphens w:val="0"/>
              <w:jc w:val="both"/>
              <w:rPr>
                <w:rFonts w:ascii="Calibri" w:hAnsi="Calibri" w:cs="Calibri"/>
                <w:sz w:val="22"/>
                <w:szCs w:val="22"/>
                <w:lang w:eastAsia="ro-RO"/>
              </w:rPr>
            </w:pPr>
            <w:r>
              <w:rPr>
                <w:rFonts w:ascii="Calibri" w:hAnsi="Calibri" w:cs="Calibri"/>
                <w:sz w:val="22"/>
                <w:szCs w:val="22"/>
                <w:lang w:eastAsia="ro-RO"/>
              </w:rPr>
              <w:t>Tertul/tertii sustinator/i va/vor raspunde in mod solidar cu ofertantul, in mod neconditionat, fata de Entitatea Contractanta, pentru neexecutarea oricarei obligatii asumate de Ofertant, in baza contractului sectorial și pentru care acesta din urma a primit sustinerea tehnica și profesionala conform angajamentului sus menționat, renuntand in acest sens, definitiv și irevocabil, la invocarea beneficiului de diviziune și discutiune.</w:t>
            </w:r>
          </w:p>
          <w:p>
            <w:pPr>
              <w:suppressAutoHyphens w:val="0"/>
              <w:jc w:val="both"/>
              <w:rPr>
                <w:rFonts w:ascii="Calibri" w:hAnsi="Calibri" w:cs="Calibri"/>
                <w:sz w:val="22"/>
                <w:szCs w:val="22"/>
                <w:lang w:eastAsia="ro-RO"/>
              </w:rPr>
            </w:pPr>
          </w:p>
          <w:p>
            <w:pPr>
              <w:shd w:val="clear" w:color="auto" w:fill="FFFFFF"/>
              <w:jc w:val="both"/>
              <w:rPr>
                <w:rFonts w:ascii="Calibri" w:hAnsi="Calibri" w:cs="Calibri"/>
                <w:iCs/>
                <w:sz w:val="22"/>
                <w:szCs w:val="22"/>
              </w:rPr>
            </w:pPr>
            <w:r>
              <w:rPr>
                <w:rFonts w:ascii="Calibri" w:hAnsi="Calibri" w:cs="Calibri"/>
                <w:iCs/>
                <w:sz w:val="22"/>
                <w:szCs w:val="22"/>
              </w:rPr>
              <w:t>În cazul în care numărul de caractere care poate fi introdus în această secțiune este limitat de SICAP, se va introduce aici următorul text:</w:t>
            </w:r>
          </w:p>
          <w:p>
            <w:pPr>
              <w:suppressAutoHyphens w:val="0"/>
              <w:jc w:val="both"/>
              <w:rPr>
                <w:rFonts w:ascii="Calibri" w:hAnsi="Calibri" w:cs="Calibri"/>
                <w:sz w:val="22"/>
                <w:szCs w:val="22"/>
                <w:lang w:eastAsia="ro-RO"/>
              </w:rPr>
            </w:pPr>
            <w:r>
              <w:rPr>
                <w:rFonts w:ascii="Calibri" w:hAnsi="Calibri" w:cs="Calibri"/>
                <w:sz w:val="22"/>
                <w:szCs w:val="22"/>
                <w:lang w:eastAsia="ro-RO"/>
              </w:rPr>
              <w:t>Din motive obiective (numarul de caractere fiind limitat), informatii suplimentare referitoare la modalitatea de indeplinire de la III.1 CONDIŢII DE PARTICIPARE, III.1.3.a) „Capacitatea tehnică si/sau profesională” se regasesc in Sectiunea VI.3) „Informaţii suplimentare”.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iar textul excedentar va fi adăugat în Sectiunea VI.3) „Informaţii suplimentare”, cu precizarea:</w:t>
            </w:r>
          </w:p>
          <w:p>
            <w:pPr>
              <w:suppressAutoHyphens w:val="0"/>
              <w:jc w:val="both"/>
              <w:rPr>
                <w:rFonts w:ascii="Calibri" w:eastAsia="PMingLiU" w:hAnsi="Calibri" w:cs="Calibri"/>
                <w:noProof w:val="0"/>
                <w:sz w:val="22"/>
                <w:szCs w:val="22"/>
                <w:lang w:eastAsia="ro-RO"/>
              </w:rPr>
            </w:pPr>
            <w:r>
              <w:rPr>
                <w:rFonts w:ascii="Calibri" w:hAnsi="Calibri" w:cs="Calibri"/>
                <w:b/>
                <w:bCs/>
                <w:sz w:val="22"/>
                <w:szCs w:val="22"/>
                <w:lang w:eastAsia="ro-RO"/>
              </w:rPr>
              <w:t xml:space="preserve">Completare </w:t>
            </w:r>
            <w:r>
              <w:rPr>
                <w:rFonts w:ascii="Calibri" w:eastAsiaTheme="minorHAnsi" w:hAnsi="Calibri" w:cs="Calibri"/>
                <w:b/>
                <w:bCs/>
                <w:noProof w:val="0"/>
                <w:sz w:val="22"/>
                <w:szCs w:val="22"/>
                <w:lang w:eastAsia="en-US"/>
              </w:rPr>
              <w:t>III.1.3.a) Capacitatea tehnică şi/sau profesională</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u w:val="single"/>
                <w:lang w:eastAsia="en-US"/>
              </w:rPr>
              <w:lastRenderedPageBreak/>
              <w:t>Cerinţa 3: Experienţa similară – Operare instalații</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Ofertanții trebuie să demonstreze că au prestat în mod corespunzător şi au dus la bun sfârşit, în ultimii 3 ani, împliniți la data termenului-limită pentru depunerea ofertelor, </w:t>
            </w:r>
            <w:r>
              <w:rPr>
                <w:rFonts w:ascii="Calibri" w:eastAsiaTheme="minorHAnsi" w:hAnsi="Calibri" w:cs="Calibri"/>
                <w:b/>
                <w:bCs/>
                <w:noProof w:val="0"/>
                <w:sz w:val="22"/>
                <w:szCs w:val="22"/>
                <w:lang w:eastAsia="en-US"/>
              </w:rPr>
              <w:t>servicii de</w:t>
            </w:r>
            <w:r>
              <w:rPr>
                <w:rFonts w:ascii="Calibri" w:eastAsiaTheme="minorHAnsi" w:hAnsi="Calibri" w:cs="Calibri"/>
                <w:noProof w:val="0"/>
                <w:sz w:val="22"/>
                <w:szCs w:val="22"/>
                <w:lang w:eastAsia="en-US"/>
              </w:rPr>
              <w:t xml:space="preserve"> </w:t>
            </w:r>
            <w:r>
              <w:rPr>
                <w:rFonts w:ascii="Calibri" w:eastAsiaTheme="minorHAnsi" w:hAnsi="Calibri" w:cs="Calibri"/>
                <w:b/>
                <w:bCs/>
                <w:noProof w:val="0"/>
                <w:sz w:val="22"/>
                <w:szCs w:val="22"/>
                <w:lang w:eastAsia="en-US"/>
              </w:rPr>
              <w:t>operare privind instalaţii de tratare/gestionare a deşeurilor</w:t>
            </w:r>
            <w:r>
              <w:rPr>
                <w:rFonts w:ascii="Calibri" w:eastAsiaTheme="minorHAnsi" w:hAnsi="Calibri" w:cs="Calibri"/>
                <w:noProof w:val="0"/>
                <w:sz w:val="22"/>
                <w:szCs w:val="22"/>
                <w:lang w:eastAsia="en-US"/>
              </w:rPr>
              <w:t>, cu o valoare cumulată de minimum 175.000.000 RON, fără TVA, la nivelul a maximum 3 contracte.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Ofertanții trebuie să demonstreze că au prestat în mod corespunzător şi au dus la bun sfârşit, în </w:t>
            </w:r>
            <w:r>
              <w:rPr>
                <w:rFonts w:ascii="Calibri" w:eastAsiaTheme="minorHAnsi" w:hAnsi="Calibri" w:cs="Calibri"/>
                <w:noProof w:val="0"/>
                <w:sz w:val="22"/>
                <w:szCs w:val="22"/>
                <w:lang w:eastAsia="en-US"/>
              </w:rPr>
              <w:lastRenderedPageBreak/>
              <w:t>ultimii 3 ani, împliniți la data termenului-limită pentru depunerea ofertelor, următoarele servicii de operare: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operarea, pe o perioadă de cel puţin un an, a unei instalaţii de tratare mecanică a deşeurilor reciclabile colectate separat şi/sau a deşeurilor reziduale, având o complexitate similară instalaţiei ce face obiectul procedurii de atribuire. În acest sens, următoarele instalaţii sunt considerate a avea un nivel de complexitate similar cu cel al instalaţiei ce face obiectul procedurii de atribuire: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în cazul instalaţiilor de tratare mecanică a deşeurilor reciclabile colectate separat, acele instalaţii care includ tehnologii de sortare prin mijloace optice/inteligenţă artificială și care au o eficienţă proiectată de sortare mai mare de 80% din totalul intrărilor;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în cazul instalaţiilor de tratare mecanică a deşeurilor reziduale, acele instalaţii care includ tehnologii de sortare prin mijloace optice/inteligenţă artificială și care au o eficienţă proiectată de sortare a deşeurilor reciclabile mai mare de 10% din totalul intrărilor;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SAU</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r>
              <w:rPr>
                <w:rFonts w:ascii="Calibri" w:eastAsiaTheme="minorHAnsi" w:hAnsi="Calibri" w:cs="Calibri"/>
                <w:noProof w:val="0"/>
                <w:sz w:val="22"/>
                <w:szCs w:val="22"/>
                <w:lang w:eastAsia="en-US"/>
              </w:rPr>
              <w:tab/>
              <w:t>operarea, pe o perioadă de cel puţin un an, a unei instalaţii de tratare anaerobă a bio-deşeurilor colectate separat şi/sau a bio-deşeurilor din deşeurile reziduale.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Prin servicii duse la bun sfarsit in cadrul perioadei de 3 ani se intelege: -servicii receptionate partial, cu conditia ca specificul contractului/ activitatilor ce reprezinta experienta similara sa permita elaborarea unui livrabil care sa poata fi utilizat de beneficiar ca rezultat independent; -servicii receptionate la sfarsitul prestarii.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In situatia in care se decaleaza data limita de depunere a ofertelor și se stabilește un nou termen limita, prin publicarea unui anunt de schimbare, în SEAP, limita inferioara a perioadei de 3 ani se extinde cu perioada de timp aferenta decalarii, urmand a fi considerata indeplinita cerinta pentru toti operatorii economici care au prezentat dovada finalizarii contractului de experienta similara in intervalul de timp nou rezultat.</w:t>
            </w:r>
          </w:p>
        </w:tc>
        <w:tc>
          <w:tcPr>
            <w:tcW w:w="5018" w:type="dxa"/>
            <w:tcBorders>
              <w:top w:val="single" w:sz="6" w:space="0" w:color="000000"/>
              <w:left w:val="single" w:sz="6" w:space="0" w:color="000000"/>
              <w:bottom w:val="single" w:sz="6" w:space="0" w:color="000000"/>
              <w:right w:val="single" w:sz="6" w:space="0" w:color="000000"/>
            </w:tcBorders>
          </w:tcPr>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lastRenderedPageBreak/>
              <w:t xml:space="preserve">Se va completa și prezenta DUAE - "Criterii de selectie" - Sectiunea C. Capacitatea tehnica și profesionala. - Ofertantul va completa datele privind indeplinirea cerintei de experienta similara in formularul DUAE din SEAP.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In cadrul DUAE, va fi prezentata lista serviciilor similare prestate, care va cuprinde urmatoarele informatii: -Obiectul, numarul și data semnarii contractului de servicii invocat drept experienta similara, -Beneficiarul contractului și datele de contact ale acestuia, -Tipul/categoriile de servicii prestate,  -</w:t>
            </w:r>
            <w:r>
              <w:rPr>
                <w:rFonts w:ascii="Calibri" w:eastAsia="PMingLiU" w:hAnsi="Calibri" w:cs="Calibri"/>
                <w:noProof w:val="0"/>
                <w:sz w:val="22"/>
                <w:szCs w:val="22"/>
                <w:lang w:eastAsia="ro-RO"/>
              </w:rPr>
              <w:lastRenderedPageBreak/>
              <w:t xml:space="preserve">Valoarea fara TVA a contractului, -Valoarea fara TVA a serviciilor din cadrul contractului, ce sunt invocate drept experienta similara, in cazul in care obiectul contractului invocat excede serviciilor similare obiectului procedurii de achizitie, dupa caz, -Ponderea pentru care operatorul economic a fost responsabil in cadrul contractului invocat, dupa caz, -Numarul și data documentului care confirma receptionarea serviciilor invocate drept experienta similara in perioada de referinta. </w:t>
            </w: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 xml:space="preserve">Pentru conversia din alte valute se va aplica cursul mediu anual leu/valuta comunicat de BNR pentru anul in care a fost incheiat contractul invocat ca experienta similara. </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Următoarele documente justificative care probează îndeplinirea cerinței vor fi prezentate, la solicitarea autorității contractante, doar de către ofertantul clasat pe primul loc, în clasamentul intermediar întocmit la finalizarea evaluării ofertelor: -Copii dupa parti relevante ale contractelor indeplinite: -certificate de predare-primire -Documente care demonstrează că ofertantul a prestat serviciile similare din cadrul contractelor invocate, cum ar fi: -Procese verbale de receptie, -certificate constatatoare –Recomandari sau alte documente din care să reiasă următoarele informații: beneficiarul, cantitatea/valoarea, perioada și locul prestarii serviciilor. Documentele doveditoare vor fi însoțite, dacă este cazul, de traducerea autorizată în limba română.</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r>
              <w:rPr>
                <w:rFonts w:ascii="Calibri" w:eastAsia="PMingLiU" w:hAnsi="Calibri" w:cs="Calibri"/>
                <w:noProof w:val="0"/>
                <w:sz w:val="22"/>
                <w:szCs w:val="22"/>
                <w:lang w:eastAsia="ro-RO"/>
              </w:rPr>
              <w:t>In cazul in care un grup de operatori economici depune oferta comuna, atunci indeplinirea cerintei privind "experienta similara” se demonstreaza prin luarea in considerare a resurselor tuturor membrilor grupului. În acest caz, fiecare asociat este obligat sa prezinte documentele doveditoare.</w:t>
            </w:r>
          </w:p>
          <w:p>
            <w:pPr>
              <w:suppressAutoHyphens w:val="0"/>
              <w:jc w:val="both"/>
              <w:rPr>
                <w:rFonts w:ascii="Calibri" w:eastAsia="PMingLiU" w:hAnsi="Calibri" w:cs="Calibri"/>
                <w:noProof w:val="0"/>
                <w:sz w:val="22"/>
                <w:szCs w:val="22"/>
                <w:lang w:eastAsia="ro-RO"/>
              </w:rPr>
            </w:pPr>
            <w:r>
              <w:rPr>
                <w:rFonts w:ascii="Calibri" w:hAnsi="Calibri" w:cs="Calibri"/>
                <w:sz w:val="22"/>
                <w:szCs w:val="22"/>
                <w:lang w:eastAsia="ro-RO"/>
              </w:rPr>
              <w:t>Operatorii economici care depun oferta in asociere vor prezenta câte un DUAE pentru fiecare dintre membrii asocierii.</w:t>
            </w:r>
          </w:p>
          <w:p>
            <w:pPr>
              <w:suppressAutoHyphens w:val="0"/>
              <w:jc w:val="both"/>
              <w:rPr>
                <w:rFonts w:ascii="Calibri" w:eastAsia="PMingLiU" w:hAnsi="Calibri" w:cs="Calibri"/>
                <w:noProof w:val="0"/>
                <w:sz w:val="22"/>
                <w:szCs w:val="22"/>
                <w:lang w:eastAsia="ro-RO"/>
              </w:rPr>
            </w:pPr>
          </w:p>
          <w:p>
            <w:pPr>
              <w:suppressAutoHyphens w:val="0"/>
              <w:jc w:val="both"/>
              <w:rPr>
                <w:rFonts w:ascii="Calibri" w:eastAsia="PMingLiU" w:hAnsi="Calibri" w:cs="Calibri"/>
                <w:noProof w:val="0"/>
                <w:sz w:val="22"/>
                <w:szCs w:val="22"/>
                <w:lang w:eastAsia="ro-RO"/>
              </w:rPr>
            </w:pPr>
            <w:bookmarkStart w:id="12" w:name="_Hlk226460239"/>
            <w:r>
              <w:rPr>
                <w:rFonts w:ascii="Calibri" w:eastAsia="PMingLiU" w:hAnsi="Calibri" w:cs="Calibri"/>
                <w:noProof w:val="0"/>
                <w:sz w:val="22"/>
                <w:szCs w:val="22"/>
                <w:lang w:eastAsia="ro-RO"/>
              </w:rPr>
              <w:t xml:space="preserve">In cazul in care ofertantul isi demonstreaza capacitatea tehnica și profesionala invocand și sustinerea acordata de catre o alta entitate, conform art. 182 din Legea 98/2016, atunci are obligatia de a dovedi sustinerea de care beneficiaza, prin prezentarea unui angajament ferm al entiitatii respective, completat conform </w:t>
            </w:r>
            <w:r>
              <w:rPr>
                <w:rFonts w:ascii="Calibri" w:eastAsia="PMingLiU" w:hAnsi="Calibri" w:cs="Calibri"/>
                <w:b/>
                <w:bCs/>
                <w:noProof w:val="0"/>
                <w:sz w:val="22"/>
                <w:szCs w:val="22"/>
                <w:lang w:eastAsia="ro-RO"/>
              </w:rPr>
              <w:t>Formularului nr. 8 - Angajament privind sustinerea tehnica și profesionala</w:t>
            </w:r>
            <w:r>
              <w:rPr>
                <w:rFonts w:ascii="Calibri" w:eastAsia="PMingLiU" w:hAnsi="Calibri" w:cs="Calibri"/>
                <w:noProof w:val="0"/>
                <w:sz w:val="22"/>
                <w:szCs w:val="22"/>
                <w:lang w:eastAsia="ro-RO"/>
              </w:rPr>
              <w:t xml:space="preserve">, din care trebuie sa rezulte modul efectiv în care va asigura îndeplinirea angajamentului, prin </w:t>
            </w:r>
            <w:r>
              <w:rPr>
                <w:rFonts w:ascii="Calibri" w:eastAsia="PMingLiU" w:hAnsi="Calibri" w:cs="Calibri"/>
                <w:noProof w:val="0"/>
                <w:sz w:val="22"/>
                <w:szCs w:val="22"/>
                <w:lang w:eastAsia="ro-RO"/>
              </w:rPr>
              <w:lastRenderedPageBreak/>
              <w:t>care entitatea respectivă  confirma faptul ca va pune la dispozitia ofertantului resursele tehnice și profesionale invocate, tinand cont de prevederile art.50 din HG 395/2016.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xml:space="preserve">Terții susținători </w:t>
            </w:r>
            <w:r>
              <w:rPr>
                <w:rFonts w:ascii="Calibri" w:eastAsia="PMingLiU" w:hAnsi="Calibri" w:cs="Calibri"/>
                <w:noProof w:val="0"/>
                <w:sz w:val="22"/>
                <w:szCs w:val="22"/>
                <w:lang w:eastAsia="ro-RO"/>
              </w:rPr>
              <w:t>vor completa DUAE cu informațiile ce descriu nivelul lor de experiență, prin raportare la contractele executate în trecut, corespunzător cerințelor autorității contractante.</w:t>
            </w:r>
            <w:r>
              <w:rPr>
                <w:rFonts w:ascii="Calibri" w:hAnsi="Calibri" w:cs="Calibri"/>
                <w:sz w:val="22"/>
                <w:szCs w:val="22"/>
                <w:lang w:eastAsia="ro-RO"/>
              </w:rPr>
              <w:t xml:space="preserve"> Din informatiile prezentate in DUAE trebuie sa reiasa: nume Beneficiar, date de contact, nume contractant, date identificare, denumirea și nr. contractului, data semnării contractului, obiectul contractului, valoarea contractului, valoarea serviciilor duse la bun sfarsit de operatorul economic în cadrul contractului (lei fara TVA), rolul (contractant unic/ contractant lider/ contractant asociat/ subcontractant), procentul realizat de operatorul economic, perioada de prestare a serviciilor (date de incepere și finalizare), date de identificare ale documentului care atesta că serviciile au fost duse la bun sfârșit. În cazul serviciilor recepționate parțial, se vor preciza datele de identificare ale documentului care atestă recepția.</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Persoana care asigura sustinerea tehnica nu trebuie sa se afle in situatii care determina excluderea din procedura de atribuire conform prevederilor art. 164, art. 165 și art. 167 din Legea nr. 98/2016.</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Prin angajamentul ferm, tertul se va angaja că va răspunde în mod solidar cu ofertantul pentru executarea contractului de achizitie sectoriala. Raspunderea solidara a tertului sustinator se va angaja sub conditia neîndeplinirii de catre acesta a obligatiilor de sustinere asumate prin angajament.</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Odata cu depunerea DUAE, operatorii economici vor prezenta angajamentul tertului sustinator (impreuna cu documentele anexe la angajament, transmise acestora de catre terțul/tertii susținator/i, din care sa rezulte modul efectiv in care se va materializa sustinerea acestuia/acestora).</w:t>
            </w:r>
          </w:p>
          <w:p>
            <w:pPr>
              <w:suppressAutoHyphens w:val="0"/>
              <w:jc w:val="both"/>
              <w:rPr>
                <w:rFonts w:ascii="Calibri" w:hAnsi="Calibri" w:cs="Calibri"/>
                <w:sz w:val="22"/>
                <w:szCs w:val="22"/>
                <w:lang w:eastAsia="ro-RO"/>
              </w:rPr>
            </w:pPr>
            <w:r>
              <w:rPr>
                <w:rFonts w:ascii="Calibri" w:hAnsi="Calibri" w:cs="Calibri"/>
                <w:sz w:val="22"/>
                <w:szCs w:val="22"/>
                <w:lang w:eastAsia="ro-RO"/>
              </w:rPr>
              <w:t>Tertul/tertii sustinator/i va/vor raspunde in mod solidar cu ofertantul, in mod neconditionat, fata de Entitatea Contractanta, pentru neexecutarea oricarei obligatii asumate de Ofertant, in baza contractului sectorial și pentru care acesta din urma a primit sustinerea tehnica și profesionala conform angajamentului sus menționat, renuntand in acest sens, definitiv și irevocabil, la invocarea beneficiului de diviziune și discutiune.</w:t>
            </w:r>
            <w:bookmarkEnd w:id="12"/>
          </w:p>
          <w:p>
            <w:pPr>
              <w:suppressAutoHyphens w:val="0"/>
              <w:jc w:val="both"/>
              <w:rPr>
                <w:rFonts w:ascii="Calibri" w:hAnsi="Calibri" w:cs="Calibri"/>
                <w:sz w:val="22"/>
                <w:szCs w:val="22"/>
                <w:lang w:eastAsia="ro-RO"/>
              </w:rPr>
            </w:pPr>
          </w:p>
          <w:p>
            <w:pPr>
              <w:shd w:val="clear" w:color="auto" w:fill="FFFFFF"/>
              <w:jc w:val="both"/>
              <w:rPr>
                <w:rFonts w:ascii="Calibri" w:hAnsi="Calibri" w:cs="Calibri"/>
                <w:iCs/>
                <w:sz w:val="22"/>
                <w:szCs w:val="22"/>
              </w:rPr>
            </w:pPr>
            <w:r>
              <w:rPr>
                <w:rFonts w:ascii="Calibri" w:hAnsi="Calibri" w:cs="Calibri"/>
                <w:iCs/>
                <w:sz w:val="22"/>
                <w:szCs w:val="22"/>
              </w:rPr>
              <w:t>În cazul în care numărul de caractere care poate fi introdus în această secțiune este limitat de SICAP, se va introduce aici următorul text:</w:t>
            </w:r>
          </w:p>
          <w:p>
            <w:pPr>
              <w:suppressAutoHyphens w:val="0"/>
              <w:jc w:val="both"/>
              <w:rPr>
                <w:rFonts w:ascii="Calibri" w:hAnsi="Calibri" w:cs="Calibri"/>
                <w:sz w:val="22"/>
                <w:szCs w:val="22"/>
                <w:lang w:eastAsia="ro-RO"/>
              </w:rPr>
            </w:pPr>
            <w:r>
              <w:rPr>
                <w:rFonts w:ascii="Calibri" w:hAnsi="Calibri" w:cs="Calibri"/>
                <w:sz w:val="22"/>
                <w:szCs w:val="22"/>
                <w:lang w:eastAsia="ro-RO"/>
              </w:rPr>
              <w:lastRenderedPageBreak/>
              <w:t>Din motive obiective (numarul de caractere fiind limitat), informatii suplimentare referitoare la modalitatea de indeplinire de la III.1 CONDIŢII DE PARTICIPARE, III.1.3.a) „Capacitatea tehnică si/sau profesională” se regasesc in Sectiunea VI.3) „Informaţii suplimentare”.</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iar textul excedentar va fi adăugat în Sectiunea VI.3) „Informaţii suplimentare”, cu precizarea:</w:t>
            </w:r>
          </w:p>
          <w:p>
            <w:pPr>
              <w:suppressAutoHyphens w:val="0"/>
              <w:jc w:val="both"/>
              <w:rPr>
                <w:rFonts w:ascii="Calibri" w:eastAsiaTheme="minorHAnsi" w:hAnsi="Calibri" w:cs="Calibri"/>
                <w:b/>
                <w:bCs/>
                <w:noProof w:val="0"/>
                <w:sz w:val="22"/>
                <w:szCs w:val="22"/>
                <w:lang w:eastAsia="en-US"/>
              </w:rPr>
            </w:pPr>
            <w:r>
              <w:rPr>
                <w:rFonts w:ascii="Calibri" w:hAnsi="Calibri" w:cs="Calibri"/>
                <w:b/>
                <w:bCs/>
                <w:sz w:val="22"/>
                <w:szCs w:val="22"/>
                <w:lang w:eastAsia="ro-RO"/>
              </w:rPr>
              <w:t xml:space="preserve">Completare </w:t>
            </w:r>
            <w:r>
              <w:rPr>
                <w:rFonts w:ascii="Calibri" w:eastAsiaTheme="minorHAnsi" w:hAnsi="Calibri" w:cs="Calibri"/>
                <w:b/>
                <w:bCs/>
                <w:noProof w:val="0"/>
                <w:sz w:val="22"/>
                <w:szCs w:val="22"/>
                <w:lang w:eastAsia="en-US"/>
              </w:rPr>
              <w:t>III.1.3.a) Capacitatea tehnică şi/sau profesională</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jc w:val="both"/>
              <w:rPr>
                <w:rFonts w:ascii="Calibri" w:eastAsiaTheme="minorEastAsia" w:hAnsi="Calibri" w:cs="Calibri"/>
                <w:b/>
                <w:noProof w:val="0"/>
                <w:sz w:val="22"/>
                <w:szCs w:val="22"/>
                <w:lang w:eastAsia="ro-RO"/>
              </w:rPr>
            </w:pPr>
            <w:r>
              <w:rPr>
                <w:rFonts w:ascii="Calibri" w:eastAsiaTheme="minorEastAsia" w:hAnsi="Calibri" w:cs="Calibri"/>
                <w:b/>
                <w:noProof w:val="0"/>
                <w:sz w:val="22"/>
                <w:szCs w:val="22"/>
                <w:lang w:eastAsia="ro-RO"/>
              </w:rPr>
              <w:lastRenderedPageBreak/>
              <w:t>Informaţii privind partea din contract pe care operatorul economic are, eventual, intenţia să o subcontracteze</w:t>
            </w:r>
          </w:p>
          <w:p>
            <w:pPr>
              <w:suppressAutoHyphens w:val="0"/>
              <w:jc w:val="both"/>
              <w:rPr>
                <w:rFonts w:ascii="Calibri" w:eastAsiaTheme="minorEastAsia" w:hAnsi="Calibri" w:cs="Calibri"/>
                <w:noProof w:val="0"/>
                <w:sz w:val="22"/>
                <w:szCs w:val="22"/>
                <w:lang w:eastAsia="ro-RO"/>
              </w:rPr>
            </w:pPr>
            <w:bookmarkStart w:id="13" w:name="_Hlk226458842"/>
            <w:r>
              <w:rPr>
                <w:rFonts w:ascii="Calibri" w:eastAsiaTheme="minorEastAsia" w:hAnsi="Calibri" w:cs="Calibri"/>
                <w:noProof w:val="0"/>
                <w:sz w:val="22"/>
                <w:szCs w:val="22"/>
                <w:lang w:eastAsia="ro-RO"/>
              </w:rPr>
              <w:t>În cazul în care o parte din contract va fi subcontractata, ofertantul va furniza informatii privind denumirea și specializarea subcontractantilor, categoriile de servicii și/sau lucrări din contract pe care intenţionează să le subcontracteze, procentul sau valoarea aferentă activităţilor indicate în ofertă ca fiind realizate de către subcontractanţi.</w:t>
            </w:r>
          </w:p>
          <w:p>
            <w:pPr>
              <w:suppressAutoHyphens w:val="0"/>
              <w:jc w:val="both"/>
              <w:rPr>
                <w:rFonts w:ascii="Calibri" w:eastAsiaTheme="minorEastAsia" w:hAnsi="Calibri" w:cs="Calibri"/>
                <w:noProof w:val="0"/>
                <w:sz w:val="22"/>
                <w:szCs w:val="22"/>
                <w:lang w:eastAsia="ro-RO"/>
              </w:rPr>
            </w:pP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Înainte de semnarea contractului, ofertantul câstigator va prezenta contractul încheiat între ofertant și subcontractant, în original sau în copie legalizata.</w:t>
            </w:r>
          </w:p>
          <w:p>
            <w:pPr>
              <w:suppressAutoHyphens w:val="0"/>
              <w:jc w:val="both"/>
              <w:rPr>
                <w:rFonts w:ascii="Calibri" w:eastAsiaTheme="minorEastAsia" w:hAnsi="Calibri" w:cs="Calibri"/>
                <w:noProof w:val="0"/>
                <w:sz w:val="22"/>
                <w:szCs w:val="22"/>
                <w:lang w:eastAsia="ro-RO"/>
              </w:rPr>
            </w:pP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Subcontractanții nu trebuie să se afle în situații care determină excluderea din procedura de atribuire, conform prevederilor art. 59, 60, 164, art.165, art. 167 din Legea 98/2016.</w:t>
            </w:r>
          </w:p>
          <w:p>
            <w:pPr>
              <w:suppressAutoHyphens w:val="0"/>
              <w:jc w:val="both"/>
              <w:rPr>
                <w:rFonts w:ascii="Calibri" w:eastAsiaTheme="minorEastAsia" w:hAnsi="Calibri" w:cs="Calibri"/>
                <w:noProof w:val="0"/>
                <w:sz w:val="22"/>
                <w:szCs w:val="22"/>
                <w:lang w:eastAsia="ro-RO"/>
              </w:rPr>
            </w:pP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Subcontractanţii pe ale căror capacităţi ofertantul se bazează pentru demonstrarea îndeplinirii anumitor criterii de calificare şi selecţie sunt consideraţi și terţi susţinători, caz în care acordul de subcontractare reprezintă, în acelaşi timp, şi angajamentul ferm.</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Autoritatea contractantă va lua în considerare această susţinere, ca probă a îndeplinirii criteriilor minime impuse în cadrul documentaţiei de atribuire, dacă sunt îndeplinite în mod cumulativ următoarele condiţii:</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a) terţul/terţii susţinător(i) pot dovedi că deţin resursele invocate ca element de susţinere a ofertantului;</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b) ofertantul poate demonstra că va dispune efectiv de resursele entităţilor care acordă susţinerea, necesare pentru realizarea contractului, în cazul în care terţul susţinător nu este declarat subcontractant</w:t>
            </w:r>
          </w:p>
          <w:bookmarkEnd w:id="13"/>
          <w:p>
            <w:pPr>
              <w:suppressAutoHyphens w:val="0"/>
              <w:autoSpaceDE w:val="0"/>
              <w:autoSpaceDN w:val="0"/>
              <w:adjustRightInd w:val="0"/>
              <w:jc w:val="both"/>
              <w:rPr>
                <w:rFonts w:ascii="Calibri" w:eastAsiaTheme="minorHAnsi" w:hAnsi="Calibri" w:cs="Calibri"/>
                <w:b/>
                <w:bCs/>
                <w:noProof w:val="0"/>
                <w:sz w:val="22"/>
                <w:szCs w:val="22"/>
                <w:u w:val="single"/>
                <w:lang w:eastAsia="en-US"/>
              </w:rPr>
            </w:pPr>
          </w:p>
        </w:tc>
        <w:tc>
          <w:tcPr>
            <w:tcW w:w="5018" w:type="dxa"/>
            <w:tcBorders>
              <w:top w:val="single" w:sz="6" w:space="0" w:color="000000"/>
              <w:left w:val="single" w:sz="6" w:space="0" w:color="000000"/>
              <w:bottom w:val="single" w:sz="6" w:space="0" w:color="000000"/>
              <w:right w:val="single" w:sz="6" w:space="0" w:color="000000"/>
            </w:tcBorders>
          </w:tcPr>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Ofertantul va include în DUAE informatiile cu privire la subcontractantii propusi.</w:t>
            </w:r>
          </w:p>
          <w:p>
            <w:pPr>
              <w:suppressAutoHyphens w:val="0"/>
              <w:jc w:val="both"/>
              <w:rPr>
                <w:rFonts w:ascii="Calibri" w:eastAsiaTheme="minorEastAsia" w:hAnsi="Calibri" w:cs="Calibri"/>
                <w:noProof w:val="0"/>
                <w:sz w:val="22"/>
                <w:szCs w:val="22"/>
                <w:lang w:eastAsia="ro-RO"/>
              </w:rPr>
            </w:pP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Odata cu depunerea DUAE, ofertantii vor prezenta acordul/acordurile de subcontractare (</w:t>
            </w:r>
            <w:r>
              <w:rPr>
                <w:rFonts w:ascii="Calibri" w:eastAsiaTheme="minorEastAsia" w:hAnsi="Calibri" w:cs="Calibri"/>
                <w:b/>
                <w:bCs/>
                <w:noProof w:val="0"/>
                <w:sz w:val="22"/>
                <w:szCs w:val="22"/>
                <w:lang w:eastAsia="ro-RO"/>
              </w:rPr>
              <w:t>Formular nr.4</w:t>
            </w:r>
            <w:r>
              <w:rPr>
                <w:rFonts w:ascii="Calibri" w:eastAsiaTheme="minorEastAsia" w:hAnsi="Calibri" w:cs="Calibri"/>
                <w:noProof w:val="0"/>
                <w:sz w:val="22"/>
                <w:szCs w:val="22"/>
                <w:lang w:eastAsia="ro-RO"/>
              </w:rPr>
              <w:t>) Documentele justificative care probeaza cele asumate in DUAE/acord vor fi solicitate de entitatea contractanta doar ofertantului situat pe primul loc în clasamentul realizat dupa evaluarea tuturor ofertelor depuse, conform criteriului de atribuire.</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 xml:space="preserve">Acordul de subcontractare va contine </w:t>
            </w:r>
            <w:r>
              <w:rPr>
                <w:rFonts w:ascii="Calibri" w:eastAsiaTheme="minorEastAsia" w:hAnsi="Calibri" w:cs="Calibri"/>
                <w:b/>
                <w:bCs/>
                <w:noProof w:val="0"/>
                <w:sz w:val="22"/>
                <w:szCs w:val="22"/>
                <w:lang w:eastAsia="ro-RO"/>
              </w:rPr>
              <w:t>procentul</w:t>
            </w:r>
            <w:r>
              <w:rPr>
                <w:rFonts w:ascii="Calibri" w:eastAsiaTheme="minorEastAsia" w:hAnsi="Calibri" w:cs="Calibri"/>
                <w:noProof w:val="0"/>
                <w:sz w:val="22"/>
                <w:szCs w:val="22"/>
                <w:lang w:eastAsia="ro-RO"/>
              </w:rPr>
              <w:t xml:space="preserve"> </w:t>
            </w:r>
            <w:r>
              <w:rPr>
                <w:rFonts w:ascii="Calibri" w:eastAsiaTheme="minorEastAsia" w:hAnsi="Calibri" w:cs="Calibri"/>
                <w:b/>
                <w:bCs/>
                <w:i/>
                <w:iCs/>
                <w:noProof w:val="0"/>
                <w:sz w:val="22"/>
                <w:szCs w:val="22"/>
                <w:lang w:eastAsia="ro-RO"/>
              </w:rPr>
              <w:t xml:space="preserve">sau </w:t>
            </w:r>
            <w:r>
              <w:rPr>
                <w:rFonts w:ascii="Calibri" w:eastAsiaTheme="minorEastAsia" w:hAnsi="Calibri" w:cs="Calibri"/>
                <w:b/>
                <w:bCs/>
                <w:noProof w:val="0"/>
                <w:sz w:val="22"/>
                <w:szCs w:val="22"/>
                <w:lang w:eastAsia="ro-RO"/>
              </w:rPr>
              <w:t>valoarea aferenta activitatilor indicate in oferta</w:t>
            </w:r>
            <w:r>
              <w:rPr>
                <w:rFonts w:ascii="Calibri" w:eastAsiaTheme="minorEastAsia" w:hAnsi="Calibri" w:cs="Calibri"/>
                <w:noProof w:val="0"/>
                <w:sz w:val="22"/>
                <w:szCs w:val="22"/>
                <w:lang w:eastAsia="ro-RO"/>
              </w:rPr>
              <w:t xml:space="preserve"> la care se ridica partea/partile subcontractate, iar aceast procent/valoare va fi in concordanta cu procentul/valoarea de subcontractare declarat/ă in DUAE și va fi in concordanta cu Oferta, urmând să constituie anexa la contractul de achizitie publica.</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Fiecare subcontractant va completa propriul formular DUAE, in conformitate cu ceea ce implica participarea sa la indeplinirea contractului.</w:t>
            </w:r>
          </w:p>
          <w:p>
            <w:pPr>
              <w:suppressAutoHyphens w:val="0"/>
              <w:jc w:val="both"/>
              <w:rPr>
                <w:rFonts w:ascii="Calibri" w:eastAsiaTheme="minorEastAsia" w:hAnsi="Calibri" w:cs="Calibri"/>
                <w:noProof w:val="0"/>
                <w:sz w:val="22"/>
                <w:szCs w:val="22"/>
                <w:lang w:eastAsia="ro-RO"/>
              </w:rPr>
            </w:pP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Subcontractantul va completa DUAE "Criterii de selectie" - Sectiunea C. Capacitatea tehnica și profesionala, cu informatiile solicitate, in conformitate cu ceea ce implica participarea lor la indeplinirea contractului.</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 xml:space="preserve">Subcontractantul trebuie sa completeze </w:t>
            </w:r>
            <w:r>
              <w:rPr>
                <w:rFonts w:ascii="Calibri" w:eastAsiaTheme="minorEastAsia" w:hAnsi="Calibri" w:cs="Calibri"/>
                <w:b/>
                <w:bCs/>
                <w:noProof w:val="0"/>
                <w:sz w:val="22"/>
                <w:szCs w:val="22"/>
                <w:lang w:eastAsia="ro-RO"/>
              </w:rPr>
              <w:t>Formularul 11 - Declaraţie privind respectarea obligaţiilor relevante din domeniile mediului, social şi al relaţiilor de muncă</w:t>
            </w:r>
            <w:r>
              <w:rPr>
                <w:rFonts w:ascii="Calibri" w:eastAsiaTheme="minorEastAsia" w:hAnsi="Calibri" w:cs="Calibri"/>
                <w:noProof w:val="0"/>
                <w:sz w:val="22"/>
                <w:szCs w:val="22"/>
                <w:lang w:eastAsia="ro-RO"/>
              </w:rPr>
              <w:t>, conform prevederilor art. 51 alin.2, din Legea 98/2016, modificata și completata de OG 3/2021.</w:t>
            </w:r>
          </w:p>
          <w:p>
            <w:pPr>
              <w:suppressAutoHyphens w:val="0"/>
              <w:jc w:val="both"/>
              <w:rPr>
                <w:rFonts w:ascii="Calibri" w:eastAsiaTheme="minorEastAsia" w:hAnsi="Calibri" w:cs="Calibri"/>
                <w:noProof w:val="0"/>
                <w:sz w:val="22"/>
                <w:szCs w:val="22"/>
                <w:lang w:eastAsia="ro-RO"/>
              </w:rPr>
            </w:pPr>
            <w:r>
              <w:rPr>
                <w:rFonts w:ascii="Calibri" w:eastAsiaTheme="minorEastAsia" w:hAnsi="Calibri" w:cs="Calibri"/>
                <w:noProof w:val="0"/>
                <w:sz w:val="22"/>
                <w:szCs w:val="22"/>
                <w:lang w:eastAsia="ro-RO"/>
              </w:rPr>
              <w:t>Resursele materiale și umane ale subcontractantilor declarati se iau în considerare pentru partea lor de implicare în contractul care urmeaza sa fie îndeplinit, daca sunt prezentate documente relevante în acest sens.</w:t>
            </w:r>
          </w:p>
          <w:p>
            <w:pPr>
              <w:suppressAutoHyphens w:val="0"/>
              <w:jc w:val="both"/>
              <w:rPr>
                <w:rFonts w:ascii="Calibri" w:eastAsiaTheme="minorEastAsia" w:hAnsi="Calibri" w:cs="Calibri"/>
                <w:noProof w:val="0"/>
                <w:sz w:val="22"/>
                <w:szCs w:val="22"/>
                <w:lang w:eastAsia="ro-RO"/>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EastAsia" w:hAnsi="Calibri" w:cs="Calibri"/>
                <w:noProof w:val="0"/>
                <w:sz w:val="22"/>
                <w:szCs w:val="22"/>
                <w:lang w:eastAsia="ro-RO"/>
              </w:rPr>
              <w:t xml:space="preserve">Atunci când înlocuirea sau introducerea unor noi subcontractanţi are loc după atribuirea contractului, aceştia transmit certificatele și alte documente necesare pentru verificarea inexistenţei unor situaţii </w:t>
            </w:r>
            <w:r>
              <w:rPr>
                <w:rFonts w:ascii="Calibri" w:eastAsiaTheme="minorEastAsia" w:hAnsi="Calibri" w:cs="Calibri"/>
                <w:noProof w:val="0"/>
                <w:sz w:val="22"/>
                <w:szCs w:val="22"/>
                <w:lang w:eastAsia="ro-RO"/>
              </w:rPr>
              <w:lastRenderedPageBreak/>
              <w:t>de excludere şi, respectiv, a existenţei resurselor/capacităţilor corespunzător părţii lor de implicare în contractul care urmează să fie îndeplinit.</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bookmarkStart w:id="14" w:name="_Hlk531610809"/>
            <w:bookmarkEnd w:id="14"/>
            <w:r>
              <w:rPr>
                <w:rFonts w:ascii="Calibri" w:eastAsiaTheme="minorHAnsi" w:hAnsi="Calibri" w:cs="Calibri"/>
                <w:b/>
                <w:bCs/>
                <w:noProof w:val="0"/>
                <w:sz w:val="22"/>
                <w:szCs w:val="22"/>
                <w:lang w:eastAsia="en-US"/>
              </w:rPr>
              <w:lastRenderedPageBreak/>
              <w:t>III.1.3.b) Standarde de asigurare a calităţii şi de protecţie a mediului</w:t>
            </w:r>
          </w:p>
        </w:tc>
      </w:tr>
      <w:tr>
        <w:trPr>
          <w:trHeight w:val="1545"/>
        </w:trP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bookmarkStart w:id="15" w:name="_Hlk531610835"/>
            <w:bookmarkEnd w:id="15"/>
            <w:r>
              <w:rPr>
                <w:rFonts w:ascii="Calibri" w:eastAsiaTheme="minorHAnsi" w:hAnsi="Calibri" w:cs="Calibri"/>
                <w:i/>
                <w:iCs/>
                <w:noProof w:val="0"/>
                <w:sz w:val="22"/>
                <w:szCs w:val="22"/>
                <w:lang w:eastAsia="en-US"/>
              </w:rPr>
              <w:t xml:space="preserve">Cerinţa nr. 1  - </w:t>
            </w:r>
            <w:r>
              <w:rPr>
                <w:rFonts w:ascii="Calibri" w:eastAsiaTheme="minorHAnsi" w:hAnsi="Calibri" w:cs="Calibri"/>
                <w:noProof w:val="0"/>
                <w:sz w:val="22"/>
                <w:szCs w:val="22"/>
                <w:lang w:eastAsia="en-US"/>
              </w:rPr>
              <w:t>Dovada implementării unui sistem de management al calităţii certificat, pentru activităţi în domeniile în care se încadrează activitățile principale care fac obiectul contractului, în conformitate cu SR EN ISO 9001 sau echivalent, respectiv pentru urmatoarele domenii de activitate: proiectare, execuție lucrări de construcții, gestionare deșeuri.</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Ofertantul va prezenta un certificat emis de un organism independent, care atestă că acesta are implementat, conform ISO 9001, un sistem de management al calităţii pentru activităţi in domeniul in care se incadreaza activitatile principale care fac obiectul contractului ce urmează a fi atribuit. Certificatul trebuie să fie valabil la data prezentării.</w:t>
            </w:r>
          </w:p>
          <w:p>
            <w:pPr>
              <w:jc w:val="both"/>
              <w:rPr>
                <w:rFonts w:ascii="Calibri" w:eastAsiaTheme="minorHAnsi" w:hAnsi="Calibri" w:cs="Calibri"/>
                <w:noProof w:val="0"/>
                <w:sz w:val="22"/>
                <w:szCs w:val="22"/>
                <w:lang w:eastAsia="en-US"/>
              </w:rPr>
            </w:pPr>
          </w:p>
        </w:tc>
        <w:tc>
          <w:tcPr>
            <w:tcW w:w="5018"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bookmarkStart w:id="16" w:name="_Hlk531610853"/>
            <w:bookmarkEnd w:id="16"/>
            <w:r>
              <w:rPr>
                <w:rFonts w:ascii="Calibri" w:eastAsiaTheme="minorHAnsi" w:hAnsi="Calibri" w:cs="Calibri"/>
                <w:noProof w:val="0"/>
                <w:sz w:val="22"/>
                <w:szCs w:val="22"/>
                <w:lang w:eastAsia="en-US"/>
              </w:rPr>
              <w:t>Se va completa DUAE - "Criterii de selecţie" - Secţiunea D. Sisteme de asigurare a calităţii şi standarde de management de mediu (pentru fiecare operator economic, in cazul unei asocieri).</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La solicitarea autoritatii contractante, ofertantul situat pe primul loc în clasamentul intermediar realizat dupa evaluarea ofertelor, conform criteriului de atribuire, va prezenta, in vederea probarii celor asumate prin DUAE, documente justificative, respectiv </w:t>
            </w:r>
            <w:r>
              <w:rPr>
                <w:rFonts w:ascii="Calibri" w:hAnsi="Calibri" w:cs="Calibri"/>
                <w:sz w:val="22"/>
                <w:szCs w:val="22"/>
                <w:lang w:eastAsia="ro-RO"/>
              </w:rPr>
              <w:t xml:space="preserve">documente de certificare a sistemului de management al calității, emise de un organism independent, </w:t>
            </w:r>
            <w:r>
              <w:rPr>
                <w:rFonts w:ascii="Calibri" w:eastAsiaTheme="minorHAnsi" w:hAnsi="Calibri" w:cs="Calibri"/>
                <w:noProof w:val="0"/>
                <w:sz w:val="22"/>
                <w:szCs w:val="22"/>
                <w:lang w:eastAsia="en-US"/>
              </w:rPr>
              <w:t>sau alte probe/dovezi care confirma asigurarea unui nivel corespunzator al calitatii, in cazul, demonstrat, in care operatorul economic nu are acces la un certificat de calitate astfel cum a fost solicitat ori nu are posibilitatea de a-l obtine in termenul stabilit.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Certificatele sau documentele echivalente trebuie sa  ateste ca operatorul economic are implementat un sistem de management al calitatii pentru activitati in domeniul in care se incadreaza activitatile principale care fac obiectul contractului (proiectare, execuție lucrări de construcții, gestionare deșeuri).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Documentele emise in alta limba decat limba romana trebuie sa fie insotite de traducere autorizata in limba romana.</w:t>
            </w:r>
          </w:p>
          <w:p>
            <w:pPr>
              <w:jc w:val="both"/>
              <w:rPr>
                <w:rFonts w:ascii="Calibri" w:hAnsi="Calibri" w:cs="Calibri"/>
                <w:sz w:val="22"/>
                <w:szCs w:val="22"/>
                <w:lang w:eastAsia="ro-RO"/>
              </w:rPr>
            </w:pPr>
            <w:r>
              <w:rPr>
                <w:rFonts w:ascii="Calibri" w:hAnsi="Calibri" w:cs="Calibri"/>
                <w:sz w:val="22"/>
                <w:szCs w:val="22"/>
                <w:lang w:eastAsia="ro-RO"/>
              </w:rPr>
              <w:t>Certificatele/documentele edificatoare care probează /confirmă îndeplinirea cerinței vor fi însoțite, daca este cazul, de traducere autorizată în limba română.</w:t>
            </w:r>
          </w:p>
          <w:p>
            <w:pPr>
              <w:jc w:val="both"/>
              <w:rPr>
                <w:rFonts w:ascii="Calibri" w:hAnsi="Calibri" w:cs="Calibri"/>
                <w:sz w:val="22"/>
                <w:szCs w:val="22"/>
                <w:lang w:eastAsia="ro-RO"/>
              </w:rPr>
            </w:pPr>
          </w:p>
          <w:p>
            <w:pPr>
              <w:jc w:val="both"/>
              <w:rPr>
                <w:rFonts w:ascii="Calibri" w:hAnsi="Calibri" w:cs="Calibri"/>
                <w:sz w:val="22"/>
                <w:szCs w:val="22"/>
                <w:lang w:eastAsia="ro-RO"/>
              </w:rPr>
            </w:pPr>
            <w:r>
              <w:rPr>
                <w:rFonts w:ascii="Calibri" w:hAnsi="Calibri" w:cs="Calibri"/>
                <w:b/>
                <w:bCs/>
                <w:sz w:val="22"/>
                <w:szCs w:val="22"/>
                <w:lang w:eastAsia="ro-RO"/>
              </w:rPr>
              <w:t>NOTE</w:t>
            </w:r>
            <w:r>
              <w:rPr>
                <w:rFonts w:ascii="Calibri" w:hAnsi="Calibri" w:cs="Calibri"/>
                <w:sz w:val="22"/>
                <w:szCs w:val="22"/>
                <w:lang w:eastAsia="ro-RO"/>
              </w:rPr>
              <w:t xml:space="preserve">: </w:t>
            </w:r>
          </w:p>
          <w:p>
            <w:pPr>
              <w:jc w:val="both"/>
              <w:rPr>
                <w:rFonts w:ascii="Calibri" w:hAnsi="Calibri" w:cs="Calibri"/>
                <w:sz w:val="22"/>
                <w:szCs w:val="22"/>
                <w:lang w:eastAsia="ro-RO"/>
              </w:rPr>
            </w:pPr>
            <w:r>
              <w:rPr>
                <w:rFonts w:ascii="Calibri" w:hAnsi="Calibri" w:cs="Calibri"/>
                <w:sz w:val="22"/>
                <w:szCs w:val="22"/>
                <w:lang w:eastAsia="ro-RO"/>
              </w:rPr>
              <w:t xml:space="preserve">- in cazul unei asocieri, se vor prezenta documente pentru fiecare dintre operatorii economici, in raport cu activitatea desfasurata in viitorul contract </w:t>
            </w:r>
          </w:p>
          <w:p>
            <w:pPr>
              <w:suppressAutoHyphens w:val="0"/>
              <w:autoSpaceDE w:val="0"/>
              <w:autoSpaceDN w:val="0"/>
              <w:adjustRightInd w:val="0"/>
              <w:jc w:val="both"/>
              <w:rPr>
                <w:rFonts w:ascii="Calibri" w:hAnsi="Calibri" w:cs="Calibri"/>
                <w:sz w:val="22"/>
                <w:szCs w:val="22"/>
                <w:lang w:eastAsia="ro-RO"/>
              </w:rPr>
            </w:pPr>
            <w:r>
              <w:rPr>
                <w:rFonts w:ascii="Calibri" w:hAnsi="Calibri" w:cs="Calibri"/>
                <w:sz w:val="22"/>
                <w:szCs w:val="22"/>
                <w:lang w:eastAsia="ro-RO"/>
              </w:rPr>
              <w:t>- documentele de confirmare trebuie sa fie valabile la data prezentarii acestora.</w:t>
            </w:r>
          </w:p>
        </w:tc>
      </w:tr>
      <w:tr>
        <w:tc>
          <w:tcPr>
            <w:tcW w:w="4747"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bookmarkStart w:id="17" w:name="_Hlk531610989"/>
            <w:bookmarkEnd w:id="17"/>
            <w:r>
              <w:rPr>
                <w:rFonts w:ascii="Calibri" w:eastAsiaTheme="minorHAnsi" w:hAnsi="Calibri" w:cs="Calibri"/>
                <w:i/>
                <w:iCs/>
                <w:noProof w:val="0"/>
                <w:sz w:val="22"/>
                <w:szCs w:val="22"/>
                <w:lang w:eastAsia="en-US"/>
              </w:rPr>
              <w:t xml:space="preserve">Cerinţa nr. 2 – </w:t>
            </w:r>
            <w:r>
              <w:rPr>
                <w:rFonts w:ascii="Calibri" w:eastAsiaTheme="minorHAnsi" w:hAnsi="Calibri" w:cs="Calibri"/>
                <w:noProof w:val="0"/>
                <w:sz w:val="22"/>
                <w:szCs w:val="22"/>
                <w:lang w:eastAsia="en-US"/>
              </w:rPr>
              <w:t>Dovada implementării unui sistem de management de mediu certificat, pentru activităţi în domeniile în care se încadrează activitățile principale care fac obiectul contractului, în conformitate cu SR EN ISO 14001 sau echivalent, respectiv pentru urmatoarele domenii de activitate: proiectare, execuție lucrări de construcții, gestionare deșeuri.</w:t>
            </w:r>
          </w:p>
          <w:p>
            <w:pPr>
              <w:suppressAutoHyphens w:val="0"/>
              <w:autoSpaceDE w:val="0"/>
              <w:autoSpaceDN w:val="0"/>
              <w:adjustRightInd w:val="0"/>
              <w:rPr>
                <w:rFonts w:ascii="Calibri" w:eastAsiaTheme="minorHAnsi" w:hAnsi="Calibri" w:cs="Calibri"/>
                <w:i/>
                <w:iCs/>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Ofertantul va prezenta un certificat emis de un organism independent, care atestă că acesta are implementat, conform ISO 14001, un sistem de </w:t>
            </w:r>
            <w:r>
              <w:rPr>
                <w:rFonts w:ascii="Calibri" w:eastAsiaTheme="minorHAnsi" w:hAnsi="Calibri" w:cs="Calibri"/>
                <w:noProof w:val="0"/>
                <w:sz w:val="22"/>
                <w:szCs w:val="22"/>
                <w:lang w:eastAsia="en-US"/>
              </w:rPr>
              <w:lastRenderedPageBreak/>
              <w:t>management de mediu pentru activităţi in domeniul in care se incadreaza activitatile principale care fac obiectul contractului ce urmează a fi atribuit. Certificatul trebuie să fie valabil la data prezentării.</w:t>
            </w:r>
          </w:p>
          <w:p>
            <w:pPr>
              <w:suppressAutoHyphens w:val="0"/>
              <w:autoSpaceDE w:val="0"/>
              <w:autoSpaceDN w:val="0"/>
              <w:adjustRightInd w:val="0"/>
              <w:rPr>
                <w:rFonts w:ascii="Calibri" w:eastAsiaTheme="minorHAnsi" w:hAnsi="Calibri" w:cs="Calibri"/>
                <w:i/>
                <w:iCs/>
                <w:noProof w:val="0"/>
                <w:sz w:val="22"/>
                <w:szCs w:val="22"/>
                <w:lang w:eastAsia="en-US"/>
              </w:rPr>
            </w:pPr>
          </w:p>
          <w:p>
            <w:pPr>
              <w:jc w:val="both"/>
              <w:rPr>
                <w:rFonts w:ascii="Calibri" w:hAnsi="Calibri" w:cs="Calibri"/>
                <w:sz w:val="22"/>
                <w:szCs w:val="22"/>
                <w:lang w:eastAsia="ro-RO"/>
              </w:rPr>
            </w:pPr>
          </w:p>
        </w:tc>
        <w:tc>
          <w:tcPr>
            <w:tcW w:w="5018" w:type="dxa"/>
            <w:tcBorders>
              <w:top w:val="single" w:sz="6" w:space="0" w:color="000000"/>
              <w:left w:val="single" w:sz="6" w:space="0" w:color="000000"/>
              <w:bottom w:val="single" w:sz="6" w:space="0" w:color="000000"/>
              <w:right w:val="single" w:sz="6" w:space="0" w:color="000000"/>
            </w:tcBorders>
          </w:tcPr>
          <w:p>
            <w:pPr>
              <w:jc w:val="both"/>
              <w:rPr>
                <w:rFonts w:ascii="Calibri" w:eastAsiaTheme="minorHAnsi" w:hAnsi="Calibri" w:cs="Calibri"/>
                <w:noProof w:val="0"/>
                <w:sz w:val="22"/>
                <w:szCs w:val="22"/>
                <w:lang w:eastAsia="en-US"/>
              </w:rPr>
            </w:pPr>
            <w:bookmarkStart w:id="18" w:name="_Hlk531611002"/>
            <w:bookmarkEnd w:id="18"/>
            <w:r>
              <w:rPr>
                <w:rFonts w:ascii="Calibri" w:hAnsi="Calibri" w:cs="Calibri"/>
                <w:sz w:val="22"/>
                <w:szCs w:val="22"/>
                <w:lang w:eastAsia="ro-RO"/>
              </w:rPr>
              <w:lastRenderedPageBreak/>
              <w:t xml:space="preserve">Se va completa DUAE - "Criterii de selecție" - Secțiunea D. Sisteme de asigurare a calității și standarde de management de mediu </w:t>
            </w:r>
            <w:r>
              <w:rPr>
                <w:rFonts w:ascii="Calibri" w:eastAsiaTheme="minorHAnsi" w:hAnsi="Calibri" w:cs="Calibri"/>
                <w:noProof w:val="0"/>
                <w:sz w:val="22"/>
                <w:szCs w:val="22"/>
                <w:lang w:eastAsia="en-US"/>
              </w:rPr>
              <w:t>(pentru fiecare operator economic, in cazul unei asocieri).</w:t>
            </w:r>
          </w:p>
          <w:p>
            <w:pPr>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La solicitarea autoritatii contractante, ofertantul situat pe primul loc în clasamentul intermediar realizat dupa evaluarea ofertelor, conform criteriului de atribuire, va prezenta, in vederea probarii celor asumate prin DUAE, documente justificative, respectiv </w:t>
            </w:r>
            <w:r>
              <w:rPr>
                <w:rFonts w:ascii="Calibri" w:hAnsi="Calibri" w:cs="Calibri"/>
                <w:sz w:val="22"/>
                <w:szCs w:val="22"/>
                <w:lang w:eastAsia="ro-RO"/>
              </w:rPr>
              <w:t xml:space="preserve">documente de certificare a sistemului de management de mediu, emise de un organism independent, </w:t>
            </w:r>
            <w:r>
              <w:rPr>
                <w:rFonts w:ascii="Calibri" w:eastAsiaTheme="minorHAnsi" w:hAnsi="Calibri" w:cs="Calibri"/>
                <w:noProof w:val="0"/>
                <w:sz w:val="22"/>
                <w:szCs w:val="22"/>
                <w:lang w:eastAsia="en-US"/>
              </w:rPr>
              <w:t xml:space="preserve">sau alte </w:t>
            </w:r>
            <w:r>
              <w:rPr>
                <w:rFonts w:ascii="Calibri" w:eastAsiaTheme="minorHAnsi" w:hAnsi="Calibri" w:cs="Calibri"/>
                <w:noProof w:val="0"/>
                <w:sz w:val="22"/>
                <w:szCs w:val="22"/>
                <w:lang w:eastAsia="en-US"/>
              </w:rPr>
              <w:lastRenderedPageBreak/>
              <w:t>probe/dovezi care confirma asigurarea unui nivel corespunzător de protecție a mediului, in cazul, demonstrat, in care operatorul economic nu are acces la un certificat de calitate astfel cum a fost solicitat ori nu are posibilitatea de a-l obtine in termenul stabilit.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Certificatele sau documentele echivalente trebuie sa  ateste ca operatorul economic are implementat un sistem de management de mediu pentru activitati in domeniul in care se incadreaza activitatile principale care fac obiectul contractului (proiectare, execuție lucrări de construcții, gestionare deșeuri).</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Documentele emise in alta limba decat limba romana trebuie sa fie insotite de traducere autorizata in limba romana.</w:t>
            </w:r>
          </w:p>
          <w:p>
            <w:pPr>
              <w:jc w:val="both"/>
              <w:rPr>
                <w:rFonts w:ascii="Calibri" w:hAnsi="Calibri" w:cs="Calibri"/>
                <w:sz w:val="22"/>
                <w:szCs w:val="22"/>
                <w:lang w:eastAsia="ro-RO"/>
              </w:rPr>
            </w:pPr>
            <w:r>
              <w:rPr>
                <w:rFonts w:ascii="Calibri" w:hAnsi="Calibri" w:cs="Calibri"/>
                <w:sz w:val="22"/>
                <w:szCs w:val="22"/>
                <w:lang w:eastAsia="ro-RO"/>
              </w:rPr>
              <w:t>Certificatele/documentele edificatoare care probează /confirmă îndeplinirea cerinței vor fi însoțite, daca este cazul, de traducere autorizată în limba română.</w:t>
            </w:r>
          </w:p>
          <w:p>
            <w:pPr>
              <w:jc w:val="both"/>
              <w:rPr>
                <w:rFonts w:ascii="Calibri" w:hAnsi="Calibri" w:cs="Calibri"/>
                <w:sz w:val="22"/>
                <w:szCs w:val="22"/>
                <w:lang w:eastAsia="ro-RO"/>
              </w:rPr>
            </w:pPr>
          </w:p>
          <w:p>
            <w:pPr>
              <w:jc w:val="both"/>
              <w:rPr>
                <w:rFonts w:ascii="Calibri" w:hAnsi="Calibri" w:cs="Calibri"/>
                <w:sz w:val="22"/>
                <w:szCs w:val="22"/>
                <w:lang w:eastAsia="ro-RO"/>
              </w:rPr>
            </w:pPr>
            <w:r>
              <w:rPr>
                <w:rFonts w:ascii="Calibri" w:hAnsi="Calibri" w:cs="Calibri"/>
                <w:b/>
                <w:bCs/>
                <w:sz w:val="22"/>
                <w:szCs w:val="22"/>
                <w:lang w:eastAsia="ro-RO"/>
              </w:rPr>
              <w:t>NOTE</w:t>
            </w:r>
            <w:r>
              <w:rPr>
                <w:rFonts w:ascii="Calibri" w:hAnsi="Calibri" w:cs="Calibri"/>
                <w:sz w:val="22"/>
                <w:szCs w:val="22"/>
                <w:lang w:eastAsia="ro-RO"/>
              </w:rPr>
              <w:t xml:space="preserve">: </w:t>
            </w:r>
          </w:p>
          <w:p>
            <w:pPr>
              <w:jc w:val="both"/>
              <w:rPr>
                <w:rFonts w:ascii="Calibri" w:hAnsi="Calibri" w:cs="Calibri"/>
                <w:sz w:val="22"/>
                <w:szCs w:val="22"/>
                <w:lang w:eastAsia="ro-RO"/>
              </w:rPr>
            </w:pPr>
            <w:r>
              <w:rPr>
                <w:rFonts w:ascii="Calibri" w:hAnsi="Calibri" w:cs="Calibri"/>
                <w:sz w:val="22"/>
                <w:szCs w:val="22"/>
                <w:lang w:eastAsia="ro-RO"/>
              </w:rPr>
              <w:t xml:space="preserve">- in cazul unei asocieri, se vor prezenta documente pentru fiecare dintre operatorii economici, in raport cu activitatea desfasurata in viitorul contract </w:t>
            </w:r>
          </w:p>
          <w:p>
            <w:pPr>
              <w:jc w:val="both"/>
              <w:rPr>
                <w:rFonts w:ascii="Calibri" w:eastAsiaTheme="minorHAnsi" w:hAnsi="Calibri" w:cs="Calibri"/>
                <w:noProof w:val="0"/>
                <w:sz w:val="22"/>
                <w:szCs w:val="22"/>
                <w:lang w:eastAsia="en-US"/>
              </w:rPr>
            </w:pPr>
            <w:r>
              <w:rPr>
                <w:rFonts w:ascii="Calibri" w:hAnsi="Calibri" w:cs="Calibri"/>
                <w:sz w:val="22"/>
                <w:szCs w:val="22"/>
                <w:lang w:eastAsia="ro-RO"/>
              </w:rPr>
              <w:t>- documentele de confirmare trebuie sa fie valabile la data prezentarii acestora.</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lastRenderedPageBreak/>
              <w:t>III.1.5) Informații privind contractele rezervate</w:t>
            </w:r>
            <w:r>
              <w:rPr>
                <w:rFonts w:ascii="Calibri" w:eastAsiaTheme="minorHAnsi" w:hAnsi="Calibri" w:cs="Calibri"/>
                <w:noProof w:val="0"/>
                <w:sz w:val="22"/>
                <w:szCs w:val="22"/>
                <w:lang w:eastAsia="en-US"/>
              </w:rPr>
              <w:t xml:space="preserve">         nu</w:t>
            </w:r>
            <w:r>
              <w:rPr>
                <w:rFonts w:ascii="Calibri" w:eastAsiaTheme="minorHAnsi" w:hAnsi="Calibri" w:cs="Calibri"/>
                <w:b/>
                <w:bCs/>
                <w:noProof w:val="0"/>
                <w:sz w:val="22"/>
                <w:szCs w:val="22"/>
                <w:lang w:eastAsia="en-US"/>
              </w:rPr>
              <w:t xml:space="preserve"> </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III.1.6 Depozite valorice şi garanţii solicitate </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bookmarkStart w:id="19" w:name="_Hlk531611284"/>
            <w:bookmarkEnd w:id="19"/>
            <w:r>
              <w:rPr>
                <w:rFonts w:ascii="Calibri" w:eastAsiaTheme="minorHAnsi" w:hAnsi="Calibri" w:cs="Calibri"/>
                <w:b/>
                <w:bCs/>
                <w:noProof w:val="0"/>
                <w:sz w:val="22"/>
                <w:szCs w:val="22"/>
                <w:lang w:eastAsia="en-US"/>
              </w:rPr>
              <w:t xml:space="preserve">III.1.6.a) Garanţia  de participare                                        da x </w:t>
            </w:r>
            <w:r>
              <w:rPr>
                <w:rFonts w:ascii="Calibri" w:eastAsiaTheme="minorHAnsi" w:hAnsi="Calibri" w:cs="Calibri"/>
                <w:noProof w:val="0"/>
                <w:sz w:val="22"/>
                <w:szCs w:val="22"/>
                <w:lang w:eastAsia="en-US"/>
              </w:rPr>
              <w:t>nu □</w:t>
            </w:r>
          </w:p>
          <w:p>
            <w:pPr>
              <w:suppressAutoHyphens w:val="0"/>
              <w:jc w:val="both"/>
              <w:rPr>
                <w:rFonts w:ascii="Calibri" w:hAnsi="Calibri" w:cs="Calibri"/>
                <w:sz w:val="22"/>
                <w:szCs w:val="22"/>
                <w:lang w:eastAsia="ro-RO"/>
              </w:rPr>
            </w:pPr>
            <w:bookmarkStart w:id="20" w:name="_Hlk531611493"/>
            <w:bookmarkEnd w:id="20"/>
            <w:r>
              <w:rPr>
                <w:rFonts w:ascii="Calibri" w:hAnsi="Calibri" w:cs="Calibri"/>
                <w:sz w:val="22"/>
                <w:szCs w:val="22"/>
                <w:lang w:eastAsia="ro-RO"/>
              </w:rPr>
              <w:t>Cuantum 3.500.000 lei; Valabilitate: 180 de zile de la termenul limita de primire a ofertelor; Perioada GP va fi cel putin egala cu perioada minima de valabilitate a ofertei. Constituire: - cf art. 154 alin 4 din legea 98/ 2016.</w:t>
            </w:r>
          </w:p>
          <w:p>
            <w:pPr>
              <w:suppressAutoHyphens w:val="0"/>
              <w:jc w:val="both"/>
              <w:rPr>
                <w:rFonts w:ascii="Calibri" w:hAnsi="Calibri" w:cs="Calibri"/>
                <w:sz w:val="22"/>
                <w:szCs w:val="22"/>
                <w:lang w:eastAsia="ro-RO"/>
              </w:rPr>
            </w:pPr>
            <w:r>
              <w:rPr>
                <w:rFonts w:ascii="Calibri" w:hAnsi="Calibri" w:cs="Calibri"/>
                <w:sz w:val="22"/>
                <w:szCs w:val="22"/>
                <w:lang w:eastAsia="ro-RO"/>
              </w:rPr>
              <w:t>În cazul viramentului bancar, acesta se va efectua în contul Autoritatii Contractante: RO25TREZ3065006XXX000230, deschis la Trezoreria Galati, cod fiscal 3127476; instrumentul de garantare trebuie sa faca referire la toate cazurile privind dreptul Autoritatii contractante de a retine garantia de participare, conform art.37 din HG 395/2016.</w:t>
            </w:r>
          </w:p>
          <w:p>
            <w:pPr>
              <w:suppressAutoHyphens w:val="0"/>
              <w:jc w:val="both"/>
              <w:rPr>
                <w:rFonts w:ascii="Calibri" w:hAnsi="Calibri" w:cs="Calibri"/>
                <w:sz w:val="22"/>
                <w:szCs w:val="22"/>
                <w:lang w:eastAsia="ro-RO"/>
              </w:rPr>
            </w:pPr>
            <w:r>
              <w:rPr>
                <w:rFonts w:ascii="Calibri" w:hAnsi="Calibri" w:cs="Calibri"/>
                <w:sz w:val="22"/>
                <w:szCs w:val="22"/>
                <w:lang w:eastAsia="ro-RO"/>
              </w:rPr>
              <w:t>Documentele referitoare la constituirea garantiei de participare trebuie sa fie prezentate cel mai tarziu la data si ora stabilite pentru depunerea ofertelor, acestea se vor transmite in SEAP cu semnatura electronica extinsa conf.art.60 alin.4 din HG nr.395/2016.</w:t>
            </w:r>
          </w:p>
          <w:p>
            <w:pPr>
              <w:suppressAutoHyphens w:val="0"/>
              <w:jc w:val="both"/>
              <w:rPr>
                <w:rFonts w:ascii="Calibri" w:hAnsi="Calibri" w:cs="Calibri"/>
                <w:sz w:val="22"/>
                <w:szCs w:val="22"/>
                <w:lang w:eastAsia="ro-RO"/>
              </w:rPr>
            </w:pPr>
            <w:r>
              <w:rPr>
                <w:rFonts w:ascii="Calibri" w:hAnsi="Calibri" w:cs="Calibri"/>
                <w:sz w:val="22"/>
                <w:szCs w:val="22"/>
                <w:lang w:eastAsia="ro-RO"/>
              </w:rPr>
              <w:t>Se va restitui conform art.154^1 din legea 98/2016</w:t>
            </w:r>
          </w:p>
          <w:p>
            <w:pPr>
              <w:suppressAutoHyphens w:val="0"/>
              <w:jc w:val="both"/>
              <w:rPr>
                <w:rFonts w:ascii="Calibri" w:hAnsi="Calibri" w:cs="Calibri"/>
                <w:sz w:val="22"/>
                <w:szCs w:val="22"/>
                <w:lang w:eastAsia="ro-RO"/>
              </w:rPr>
            </w:pPr>
            <w:r>
              <w:rPr>
                <w:rFonts w:ascii="Calibri" w:hAnsi="Calibri" w:cs="Calibri"/>
                <w:sz w:val="22"/>
                <w:szCs w:val="22"/>
                <w:lang w:eastAsia="ro-RO"/>
              </w:rPr>
              <w:t xml:space="preserve">AC poate solicita extinderea perioadei de valabilitate a ofertei. În cazul în care ofertantul îsi extinde perioada de valabilitate a ofertei, perioada de valabilitate a garantiei de participare va fi prelungita în mod corespunzator. În situatia în care ofertantul nu extinde valabilitatea ofertei si/sau a garantiei de participare, oferta va fi declarata inacceptabila conf. art. 134 alin.(5) si alin. (6). </w:t>
            </w:r>
          </w:p>
          <w:p>
            <w:pPr>
              <w:suppressAutoHyphens w:val="0"/>
              <w:jc w:val="both"/>
              <w:rPr>
                <w:rFonts w:ascii="Calibri" w:hAnsi="Calibri" w:cs="Calibri"/>
                <w:sz w:val="22"/>
                <w:szCs w:val="22"/>
                <w:lang w:eastAsia="ro-RO"/>
              </w:rPr>
            </w:pPr>
            <w:r>
              <w:rPr>
                <w:rFonts w:ascii="Calibri" w:hAnsi="Calibri" w:cs="Calibri"/>
                <w:sz w:val="22"/>
                <w:szCs w:val="22"/>
                <w:lang w:eastAsia="ro-RO"/>
              </w:rPr>
              <w:t>Calculul echivalentei conversiei valorii aferente GP constituita intr-o alta moneda se va efectua la cursul lei/ valuta publicat de BNR pentru data publicarii anuntului de participare.</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bookmarkStart w:id="21" w:name="_Hlk531611912"/>
            <w:bookmarkEnd w:id="21"/>
            <w:r>
              <w:rPr>
                <w:rFonts w:ascii="Calibri" w:eastAsiaTheme="minorHAnsi" w:hAnsi="Calibri" w:cs="Calibri"/>
                <w:b/>
                <w:bCs/>
                <w:noProof w:val="0"/>
                <w:sz w:val="22"/>
                <w:szCs w:val="22"/>
                <w:lang w:eastAsia="en-US"/>
              </w:rPr>
              <w:t xml:space="preserve">III.1.6.b) Garanţie de bună execuţie          da x         </w:t>
            </w:r>
            <w:r>
              <w:rPr>
                <w:rFonts w:ascii="Calibri" w:eastAsiaTheme="minorHAnsi" w:hAnsi="Calibri" w:cs="Calibri"/>
                <w:noProof w:val="0"/>
                <w:sz w:val="22"/>
                <w:szCs w:val="22"/>
                <w:lang w:eastAsia="en-US"/>
              </w:rPr>
              <w:t>nu □</w:t>
            </w:r>
          </w:p>
          <w:p>
            <w:pPr>
              <w:jc w:val="both"/>
              <w:rPr>
                <w:rFonts w:ascii="Calibri" w:hAnsi="Calibri" w:cs="Calibri"/>
                <w:sz w:val="22"/>
                <w:szCs w:val="22"/>
                <w:lang w:eastAsia="ro-RO"/>
              </w:rPr>
            </w:pPr>
            <w:r>
              <w:rPr>
                <w:rFonts w:ascii="Calibri" w:hAnsi="Calibri" w:cs="Calibri"/>
                <w:sz w:val="22"/>
                <w:szCs w:val="22"/>
                <w:lang w:eastAsia="ro-RO"/>
              </w:rPr>
              <w:t>Cuantum: 8 % din preţul aferent proiectării și execuției, fără TVA, si 8% din Prețul Anual al Serviciilor de Operare, fără TVA, pentru fiecare an de operare;</w:t>
            </w:r>
          </w:p>
          <w:p>
            <w:pPr>
              <w:jc w:val="both"/>
              <w:rPr>
                <w:rFonts w:ascii="Calibri" w:hAnsi="Calibri" w:cs="Calibri"/>
                <w:sz w:val="22"/>
                <w:szCs w:val="22"/>
                <w:lang w:eastAsia="ro-RO"/>
              </w:rPr>
            </w:pPr>
            <w:r>
              <w:rPr>
                <w:rFonts w:ascii="Calibri" w:hAnsi="Calibri" w:cs="Calibri"/>
                <w:sz w:val="22"/>
                <w:szCs w:val="22"/>
                <w:lang w:eastAsia="ro-RO"/>
              </w:rPr>
              <w:t>Constituire: - conf art. 154 alin. 4 din Legea 98/2016 si prevederile clauzei 15 din Conditiile generale ale contractului si se va restitui cf art. 154^2 din Legea 98/2016</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III.1.8 Forma juridică pe care o va lua grupul de operatori economici căruia i se atribuie contractul</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noProof w:val="0"/>
                <w:sz w:val="22"/>
                <w:szCs w:val="22"/>
                <w:lang w:eastAsia="en-US"/>
              </w:rPr>
              <w:t>Asociere în conformitate cu art. 53 din Legea nr. 98/2016 privind achiziţiile publice</w:t>
            </w:r>
            <w:r>
              <w:rPr>
                <w:rFonts w:ascii="Calibri" w:eastAsiaTheme="minorHAnsi" w:hAnsi="Calibri" w:cs="Calibri"/>
                <w:b/>
                <w:bCs/>
                <w:noProof w:val="0"/>
                <w:sz w:val="22"/>
                <w:szCs w:val="22"/>
                <w:lang w:eastAsia="en-US"/>
              </w:rPr>
              <w:t>.</w:t>
            </w:r>
          </w:p>
        </w:tc>
      </w:tr>
      <w:tr>
        <w:tc>
          <w:tcPr>
            <w:tcW w:w="9765"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III.1.9 Legislaţia aplicabilă</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lastRenderedPageBreak/>
              <w:t>Legea nr. 98/2016 privind achizițiile publice, cu modificările și completările ulterioare;</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Hotărârea Guvernului nr. 395/2016 pentru aprobarea Normelor metodologice de aplicare a prevederilor referitoare la atribuirea contractului de achiziție sectorială/acordului-cadru din Legea nr. 98/2016 privind achiziţiile publice, cu modificările și completările ulterioare;</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Legea nr. 10/1995 privind calitatea in constructii;</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Standarde nationale si reglementari tehnice in domeniu;</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Legislaţie în materia achizițiilor sectoriale, disponibilă pe: www.anap.gov.ro</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Instrucţiuni emise de A.N.A.P. în aplicarea legislaţiei în materia achiziţiilor publice;</w:t>
            </w:r>
          </w:p>
          <w:p>
            <w:pPr>
              <w:numPr>
                <w:ilvl w:val="0"/>
                <w:numId w:val="8"/>
              </w:numPr>
              <w:tabs>
                <w:tab w:val="clear" w:pos="720"/>
                <w:tab w:val="num" w:pos="426"/>
              </w:tabs>
              <w:suppressAutoHyphens w:val="0"/>
              <w:ind w:left="426" w:hanging="284"/>
              <w:jc w:val="both"/>
              <w:rPr>
                <w:rFonts w:ascii="Calibri" w:hAnsi="Calibri" w:cs="Calibri"/>
                <w:sz w:val="22"/>
                <w:szCs w:val="22"/>
                <w:lang w:eastAsia="ro-RO"/>
              </w:rPr>
            </w:pPr>
            <w:r>
              <w:rPr>
                <w:rFonts w:ascii="Calibri" w:hAnsi="Calibri" w:cs="Calibri"/>
                <w:sz w:val="22"/>
                <w:szCs w:val="22"/>
                <w:lang w:eastAsia="ro-RO"/>
              </w:rPr>
              <w:t>orice alte acte normative relevante cu privire la obiectul prezentei proceduri şi la obiectul caietului de sarcini.</w:t>
            </w:r>
          </w:p>
        </w:tc>
      </w:tr>
    </w:tbl>
    <w:p>
      <w:pPr>
        <w:suppressAutoHyphens w:val="0"/>
        <w:autoSpaceDE w:val="0"/>
        <w:autoSpaceDN w:val="0"/>
        <w:adjustRightInd w:val="0"/>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III.2 CONDIŢII REFERITOARE LA CONTRACT</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III.2.1) Prestarea serviciilor în cauză este rezervată unei anumite profesii</w:t>
      </w:r>
    </w:p>
    <w:p>
      <w:pPr>
        <w:pBdr>
          <w:top w:val="single" w:sz="4" w:space="0" w:color="auto"/>
          <w:left w:val="single" w:sz="4" w:space="3" w:color="auto"/>
          <w:bottom w:val="single" w:sz="4" w:space="0" w:color="auto"/>
          <w:right w:val="single" w:sz="4" w:space="0" w:color="auto"/>
          <w:between w:val="single" w:sz="4" w:space="0" w:color="auto"/>
          <w:bar w:val="single" w:sz="4" w:color="auto"/>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Nu</w:t>
      </w:r>
    </w:p>
    <w:p>
      <w:pPr>
        <w:pBdr>
          <w:top w:val="single" w:sz="4" w:space="0" w:color="auto"/>
          <w:left w:val="single" w:sz="4" w:space="3" w:color="auto"/>
          <w:bottom w:val="single" w:sz="4" w:space="0" w:color="auto"/>
          <w:right w:val="single" w:sz="4" w:space="0" w:color="auto"/>
          <w:between w:val="single" w:sz="4" w:space="0" w:color="auto"/>
          <w:bar w:val="single" w:sz="4" w:color="auto"/>
        </w:pBdr>
        <w:suppressAutoHyphens w:val="0"/>
        <w:autoSpaceDE w:val="0"/>
        <w:autoSpaceDN w:val="0"/>
        <w:adjustRightInd w:val="0"/>
        <w:ind w:left="75" w:right="15"/>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III.2.2) Executarea contractului este supusă altor condiţii speciale:</w:t>
      </w:r>
    </w:p>
    <w:p>
      <w:pPr>
        <w:pBdr>
          <w:top w:val="single" w:sz="4" w:space="0" w:color="auto"/>
          <w:left w:val="single" w:sz="4" w:space="3" w:color="auto"/>
          <w:bottom w:val="single" w:sz="4" w:space="0" w:color="auto"/>
          <w:right w:val="single" w:sz="4" w:space="0" w:color="auto"/>
          <w:between w:val="single" w:sz="4" w:space="0" w:color="auto"/>
          <w:bar w:val="single" w:sz="4" w:color="auto"/>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Nu</w:t>
      </w:r>
    </w:p>
    <w:p>
      <w:pPr>
        <w:pBdr>
          <w:top w:val="single" w:sz="4" w:space="0" w:color="auto"/>
          <w:left w:val="single" w:sz="4" w:space="3" w:color="auto"/>
          <w:bottom w:val="single" w:sz="4" w:space="0" w:color="auto"/>
          <w:right w:val="single" w:sz="4" w:space="0" w:color="auto"/>
          <w:between w:val="single" w:sz="4" w:space="0" w:color="auto"/>
          <w:bar w:val="single" w:sz="4" w:color="auto"/>
        </w:pBdr>
        <w:suppressAutoHyphens w:val="0"/>
        <w:autoSpaceDE w:val="0"/>
        <w:autoSpaceDN w:val="0"/>
        <w:adjustRightInd w:val="0"/>
        <w:ind w:left="75" w:right="15"/>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III.2.3) Informaţii privind personalul responsabil cu executarea contractului:</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Obligaţie de a preciza numele şi calificările profesionale ale angajaţilor desemnaţi pentru executarea contractului: Nu</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SECŢIUNEA IV: PROCEDURA</w:t>
      </w: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IV.1) DESCRIERE</w:t>
      </w:r>
    </w:p>
    <w:tbl>
      <w:tblPr>
        <w:tblW w:w="9639" w:type="dxa"/>
        <w:tblInd w:w="105" w:type="dxa"/>
        <w:tblLayout w:type="fixed"/>
        <w:tblCellMar>
          <w:left w:w="105" w:type="dxa"/>
          <w:right w:w="105" w:type="dxa"/>
        </w:tblCellMar>
        <w:tblLook w:val="0000" w:firstRow="0" w:lastRow="0" w:firstColumn="0" w:lastColumn="0" w:noHBand="0" w:noVBand="0"/>
      </w:tblPr>
      <w:tblGrid>
        <w:gridCol w:w="9639"/>
      </w:tblGrid>
      <w:tr>
        <w:tc>
          <w:tcPr>
            <w:tcW w:w="9639"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IV.1.1) Tipul procedurii şi modalitatea de desfăşurare</w:t>
            </w:r>
          </w:p>
        </w:tc>
      </w:tr>
      <w:tr>
        <w:tc>
          <w:tcPr>
            <w:tcW w:w="9639"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IV.1.1.a) Modalitatea de desfăşurare a procedurii de atribuire                     </w:t>
            </w:r>
            <w:r>
              <w:rPr>
                <w:rFonts w:ascii="Calibri" w:eastAsiaTheme="minorHAnsi" w:hAnsi="Calibri" w:cs="Calibri"/>
                <w:noProof w:val="0"/>
                <w:sz w:val="22"/>
                <w:szCs w:val="22"/>
                <w:lang w:eastAsia="en-US"/>
              </w:rPr>
              <w:t>Offline</w:t>
            </w:r>
            <w:r>
              <w:rPr>
                <w:rFonts w:ascii="Calibri" w:eastAsiaTheme="minorHAnsi" w:hAnsi="Calibri" w:cs="Calibri"/>
                <w:b/>
                <w:bCs/>
                <w:noProof w:val="0"/>
                <w:sz w:val="22"/>
                <w:szCs w:val="22"/>
                <w:lang w:eastAsia="en-US"/>
              </w:rPr>
              <w:t xml:space="preserve">  □    Online   x</w:t>
            </w:r>
          </w:p>
        </w:tc>
      </w:tr>
      <w:tr>
        <w:tc>
          <w:tcPr>
            <w:tcW w:w="9639"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IV.1.1.b) Tipul procedurii </w:t>
            </w:r>
          </w:p>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Licitaţie deschisă  x</w:t>
            </w:r>
          </w:p>
        </w:tc>
      </w:tr>
    </w:tbl>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IV.1.3 Informaţii privind un acord-cadru sau un sistem dinamic de achiziţii:</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Ofertele trebuie depuse pentru: Contract de achiziţii publice</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IV.1.6 Informaţii despre licitaţia electronică</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va organiza o licitaţie electronică: Nu</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IV.1.8 Informaţii despre Acordul privind achiziţiile publice (AAP)</w:t>
      </w:r>
    </w:p>
    <w:p>
      <w:pPr>
        <w:pBdr>
          <w:top w:val="single" w:sz="6" w:space="0" w:color="000000"/>
          <w:left w:val="single" w:sz="6" w:space="3" w:color="000000"/>
          <w:bottom w:val="single" w:sz="6" w:space="0" w:color="000000"/>
          <w:right w:val="single" w:sz="6" w:space="0" w:color="000000"/>
        </w:pBdr>
        <w:suppressAutoHyphens w:val="0"/>
        <w:autoSpaceDE w:val="0"/>
        <w:autoSpaceDN w:val="0"/>
        <w:adjustRightInd w:val="0"/>
        <w:ind w:left="75" w:right="15"/>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Achiziţia intra sub incidenţa acordului privind contractele de achiziţii publice: Da</w:t>
      </w:r>
    </w:p>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IV.2) INFORMAŢII ADMINISTRATIVE</w:t>
      </w:r>
    </w:p>
    <w:tbl>
      <w:tblPr>
        <w:tblW w:w="9886" w:type="dxa"/>
        <w:tblLayout w:type="fixed"/>
        <w:tblCellMar>
          <w:left w:w="105" w:type="dxa"/>
          <w:right w:w="105" w:type="dxa"/>
        </w:tblCellMar>
        <w:tblLook w:val="0000" w:firstRow="0" w:lastRow="0" w:firstColumn="0" w:lastColumn="0" w:noHBand="0" w:noVBand="0"/>
      </w:tblPr>
      <w:tblGrid>
        <w:gridCol w:w="9886"/>
      </w:tblGrid>
      <w:tr>
        <w:tc>
          <w:tcPr>
            <w:tcW w:w="98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 xml:space="preserve">IV.2.1 Publicare anterioară privind această procedură      </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w:t>
            </w:r>
          </w:p>
        </w:tc>
      </w:tr>
      <w:tr>
        <w:tc>
          <w:tcPr>
            <w:tcW w:w="98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IV.2.4 Limbile în care pot fi depuse ofertele sau cererile de participare</w:t>
            </w:r>
          </w:p>
        </w:tc>
      </w:tr>
      <w:tr>
        <w:tc>
          <w:tcPr>
            <w:tcW w:w="98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Română</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Monedă în care se transmite oferta financiară: RON</w:t>
            </w:r>
          </w:p>
        </w:tc>
      </w:tr>
      <w:tr>
        <w:tc>
          <w:tcPr>
            <w:tcW w:w="98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IV.2.6) Perioada minimă pe parcursul căreia ofertantul trebuie să îşi menţină oferta</w:t>
            </w:r>
            <w:r>
              <w:rPr>
                <w:rFonts w:ascii="Calibri" w:eastAsiaTheme="minorHAnsi" w:hAnsi="Calibri" w:cs="Calibri"/>
                <w:noProof w:val="0"/>
                <w:sz w:val="22"/>
                <w:szCs w:val="22"/>
                <w:lang w:eastAsia="en-US"/>
              </w:rPr>
              <w: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6 luni (de la termenul limită de primire a ofertelor) </w:t>
            </w:r>
          </w:p>
        </w:tc>
      </w:tr>
    </w:tbl>
    <w:p>
      <w:pPr>
        <w:suppressAutoHyphens w:val="0"/>
        <w:autoSpaceDE w:val="0"/>
        <w:autoSpaceDN w:val="0"/>
        <w:adjustRightInd w:val="0"/>
        <w:jc w:val="both"/>
        <w:rPr>
          <w:rFonts w:ascii="Calibri" w:eastAsiaTheme="minorHAnsi" w:hAnsi="Calibri" w:cs="Calibri"/>
          <w:noProof w:val="0"/>
          <w:sz w:val="22"/>
          <w:szCs w:val="22"/>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IV.4. PREZENTAREA OFERTEI</w:t>
      </w:r>
    </w:p>
    <w:tbl>
      <w:tblPr>
        <w:tblW w:w="9915" w:type="dxa"/>
        <w:tblLayout w:type="fixed"/>
        <w:tblCellMar>
          <w:left w:w="105" w:type="dxa"/>
          <w:right w:w="105" w:type="dxa"/>
        </w:tblCellMar>
        <w:tblLook w:val="0000" w:firstRow="0" w:lastRow="0" w:firstColumn="0" w:lastColumn="0" w:noHBand="0" w:noVBand="0"/>
      </w:tblPr>
      <w:tblGrid>
        <w:gridCol w:w="9915"/>
      </w:tblGrid>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IV.4.1. Modul de prezentare a propunerii tehnice</w:t>
            </w:r>
          </w:p>
        </w:tc>
      </w:tr>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Propunerea tehnica va fi intocmită astfel incat să asigure posibilitatea verificării corespondentei intre aceasta şi prevederile Caietului de sarcini.</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Propunerea tehnica va include: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Formularul nr. 10 - Propunere tehnică, completat cu toate informaţiile solicitate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lastRenderedPageBreak/>
              <w:t>- Formularul nr. 11 - Declaraţie privind respectarea obligaţiilor relevante din domeniile mediului, social şi al relaţiilor de muncă (In cazul asocierii/subcontractarii unor parti din contract, aceasta declaraţie va fi asumata de toti membrii asocierii/subcontractantii.)</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Ofertantul trebuie sa isi asume respectarea reglementarilor obligatorii din domeniul mediului, social, al relaţiilor de muncă, precum şi respectarea legislaţiei privind securitatea şi sănătatea in munca (SSM) pe tot parcursui îndeplinirii contractului, in conformitate cu legislaţia in vigoare, prezentând in cadrul ofertei sale o declaraţie in acest sens. In cazul unei asocieri, aceasta declaraţie va fi asumata de fiecare membru al asocierii. De asemenea, in cazul subcontractarii unor parti din contract, toti subcontractantii propuşi isi vor asuma aceasta declaraţie, conform prevederilor art. 55 alin. (2) din Legea 98/2016.</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Informaţii detaliate privind reglementările care sunt in vigoare la nivel nationai şi se refera la domeniu! mediului, social, al relaţiilor de munca şi SSM se pot obţine de la:</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Ministerul Mediului: http://www.mmediu.ro</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Ministerul Muncii şi Justiţiei Sociale: http://ww\v.mmuncii.ro/j33/index.php/ro/legislatie</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Inspecţia Muncii: https://www.inspectiamuncii.ro/legislatie</w:t>
            </w:r>
          </w:p>
        </w:tc>
      </w:tr>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lastRenderedPageBreak/>
              <w:t>IV.4.2. Modul de prezentare a propunerii financiare</w:t>
            </w:r>
          </w:p>
        </w:tc>
      </w:tr>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Propunerea financiara se va prezenta in lei, cu evidenţierea TVA separat.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Propunerea financiara va conţine următoarele documente, completate, semnate şi ştampilate de ofertant:</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 Formularul de ofertă (Formular nr. 9)</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(b) Anexa A - Liste de preţuri (pentru proiectare şi execuţie)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 Anexa B - Fişă de fundamentare a tarifelor şi memoriu justificativ</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 Centralizator cu serviciile/lucrările care urmează să fie realizate de asociaţi și/sau subcontractanti (daca este cazul).</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Ofertantul va elabora propunerea financiara astfel incat aceasta sa furnizeze toate informaţiile cu privire la pret, precum şi la alte condiţii financiare şi comerciale legate de obiectul contractului de achiziţie sectoriala.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Valorile incluse in propunerea financiara vor fi exprimate cu maxim doua zecimale.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Ofertantul va respecta cerinţele impuse in documentaţia de atribuire privind modul de prezentare a propunerii financiare.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Propunerea financiara va fi evaluata luând in considerare preţul total, fara TVA.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recomanda potentialilor ofertanti sa tina cont la elaborarea ofertelor: "In conformitate cu prevederile contractului de finantare nr. 319/18.06.2020 semnat de catre Consiliul Judetean Galati cu Comisia Europeana prin Ministerul Fondurilor Europene in valoarea devizului aprobat, activitatea de proiectare este plafonata la maxim 3,91% din valoarea activitatii de proiectare si executie din cadrul contractului, existand aceasta constrangere obiectiva a autoritatii contractante legata de finantarea proiectului.Orice depasire a acestui plafon reprezentand cheltuiala ne-eligibila pentru Autoritatea Contractanta aceasta aflandu-se in imposibilitatea decontarii unei sume mai mari.",</w:t>
            </w:r>
          </w:p>
        </w:tc>
      </w:tr>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IV.4.3. Modul de prezentare a ofertei</w:t>
            </w:r>
          </w:p>
        </w:tc>
      </w:tr>
      <w:tr>
        <w:tc>
          <w:tcPr>
            <w:tcW w:w="9900"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Pentru a putea participa la procedura de atribuire desfasurata integral prin mijloace electronice operatorii economici au obligatia sa se înregistreze în Sistemul Electronic al Achizitiilor Publice (SEAP), conform Legii nr.98/2016 AC accepta numai ofertele depuse online în SEAP.Adresa la care se depune oferta este www.e-licitatie.ro.</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DUAE completat cu informatiile aferente operatorului economic participant la procedura de atribuire, propunerea tehnica si propunerea financiara vor fi transmise în format electronic/prin mijloace electronice.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Documentele precizate mai sus, respectiv fișierele pe care ofertantul le va încărca în SEAP, vor fi semnate cu semnatura electronica extinsa a reprezentantului legal/împuternicit al operatorului economic, în functie de calitatea acestuia - asociat/tert/subcontractant. Formularul de contract se va depune însotit de eventuale propuneri de modificare a clauzelor contractuale specifice, propuneri care se vor accepta numai în masura în care acestea nu vor fi în mod evident, dezavantajoase pentru autoritatea contractanta. Pretul se cripteaza, iar documentele ce contin elemente de pret se semnaleaza corespunzator.</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Operatorul economic trebuie sa ia toate masurile astfel încât oferta sa fie transmisa în S.E.A.P., numai în format electronic si numai pâna la termenul limita de depunere a ofertelor, asa cum este aceasta evidentiata în cadrul anuntului de participare. Riscurile transmiterii ofertei, inclusiv forta majora, cad în sarcina operatorului economic. Nu se accepta oferte si/sau documente de calificare care nu sunt semnate cu </w:t>
            </w:r>
            <w:r>
              <w:rPr>
                <w:rFonts w:ascii="Calibri" w:eastAsiaTheme="minorHAnsi" w:hAnsi="Calibri" w:cs="Calibri"/>
                <w:noProof w:val="0"/>
                <w:sz w:val="22"/>
                <w:szCs w:val="22"/>
                <w:lang w:eastAsia="en-US"/>
              </w:rPr>
              <w:lastRenderedPageBreak/>
              <w:t>semnatura electronica extinsa; În cazul documentelor emise de institutii/organisme oficiale abilitate în acest sens documentele respective trebuie sa fie semnate si parafate conform prevederilor legale - Ofertele care se depun la sediul autoritatii contractante nu sunt luate în considerare.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-Netransmiterea sau necompletarea unui document lipsa dintre cele solicitate în perioada precizata de catre comisia de evaluare, sau dovada organismului emitent al documentului privind imposibilitatea emiterii documentului in perioada precizata si specificarea termenului de emitere, are drept consecinta respingerea ofertei ca neconforma.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Reguli de comunicare si transmitere a datelor: Solicitarile de clarificari se vor adresa în mod exclusiv în SEAP la Sectiunea "Întrebari" din cadrul procedurii de atribuire derulate prin mijloace electronice iar raspunsurile la acestea vor fi publicate în SEAP la Sectiunea "Documentatie si Clarificari" din cadrul anuntului de participare.</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Pentru comunicările ulterioare depunerii ofertelor: Comisia de evaluare va transmite solicitarile de clarificare în legatura cu oferta prin utilizarea facilitatilor tehnice disponibile în SEAP (Sectiunea "Întrebari"). Operatorii economici vor transmite raspunsurile la clarificari si eventualele documente solicitate pe parcursul evaluarii ofertelor prin intermediul SEAP (Sectiunea "Întrebari"), în format electronic, semnate cu semnatura electronica, conform prevederilor Legii nr. 455/2001 privind semnatura electronica.</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Persoana care se consideră vătămată de un act al autorităţii contractante poate sesiza Consiliul în vederea anulării actului autorităţi contractante, obligării acesteia la emiterea unui act sau la adoptarea de măsuri de remediere, precum şi pentru recunoaşterea dreptului pretins sau a interesului legitim, în termen de: a) 10 zile, începând cu ziua următoare luării la cunoştinţă despre actul autorităţii contractante considerat nelegal, în cazul în care valoarea estimată a procedurii de achiziţie publică/sectorial sau de concesiune este egală sau mai mare decât pragurile valorice în raport cu care este obligatorie transmiterea spre publicare către Jurnalul Oficial al Uniunii Europene a anunţurilor de participare, potrivit legislaţiei privind achiziţiile publice, legislaţiei privind achiziţiile sectoriale sau legislaţiei privind concesiunile de lucrări şi concesiunile de servicii; In cazul în care contestaţia priveşte conţinutul documentaţiei de atribuire, publicată în Sistemul electronic de achiziţii publice, denumit în continuare SEAP, data luării la cunoştinţă este data publicării documentaţiei de atribuire.</w:t>
            </w:r>
          </w:p>
        </w:tc>
      </w:tr>
    </w:tbl>
    <w:p>
      <w:pPr>
        <w:suppressAutoHyphens w:val="0"/>
        <w:autoSpaceDE w:val="0"/>
        <w:autoSpaceDN w:val="0"/>
        <w:adjustRightInd w:val="0"/>
        <w:jc w:val="both"/>
        <w:rPr>
          <w:rFonts w:ascii="Calibri" w:eastAsiaTheme="minorHAnsi" w:hAnsi="Calibri" w:cs="Calibri"/>
          <w:b/>
          <w:bCs/>
          <w:noProof w:val="0"/>
          <w:sz w:val="22"/>
          <w:szCs w:val="22"/>
          <w:shd w:val="clear" w:color="auto" w:fill="FFFF00"/>
          <w:lang w:eastAsia="en-US"/>
        </w:rPr>
      </w:pPr>
    </w:p>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SECŢIUNEA VI: INFORMAŢII SUPLIMENTARE</w:t>
      </w:r>
    </w:p>
    <w:tbl>
      <w:tblPr>
        <w:tblW w:w="9915" w:type="dxa"/>
        <w:tblLayout w:type="fixed"/>
        <w:tblCellMar>
          <w:left w:w="105" w:type="dxa"/>
          <w:right w:w="105" w:type="dxa"/>
        </w:tblCellMar>
        <w:tblLook w:val="0000" w:firstRow="0" w:lastRow="0" w:firstColumn="0" w:lastColumn="0" w:noHBand="0" w:noVBand="0"/>
      </w:tblPr>
      <w:tblGrid>
        <w:gridCol w:w="4086"/>
        <w:gridCol w:w="541"/>
        <w:gridCol w:w="2854"/>
        <w:gridCol w:w="541"/>
        <w:gridCol w:w="1893"/>
      </w:tblGrid>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 xml:space="preserve">VI.1) Aceasta achiziţie este periodică  </w:t>
            </w:r>
            <w:r>
              <w:rPr>
                <w:rFonts w:ascii="Calibri" w:eastAsiaTheme="minorHAnsi" w:hAnsi="Calibri" w:cs="Calibri"/>
                <w:noProof w:val="0"/>
                <w:sz w:val="22"/>
                <w:szCs w:val="22"/>
                <w:lang w:eastAsia="en-US"/>
              </w:rPr>
              <w:t>Nu</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VI.2 Informaţii privind fluxurile de lucru electronice</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va utiliza sistemul de comenzi electronice: Nu</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va accepta facturarea electronică: Nu</w:t>
            </w:r>
          </w:p>
          <w:p>
            <w:pPr>
              <w:suppressAutoHyphens w:val="0"/>
              <w:autoSpaceDE w:val="0"/>
              <w:autoSpaceDN w:val="0"/>
              <w:adjustRightInd w:val="0"/>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Se vor utiliza plăţile electronice: Nu</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VI.3) Informaţii suplimentare</w:t>
            </w:r>
          </w:p>
          <w:p>
            <w:pPr>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1. In cazul in care doua sau mai multe oferte sunt clasate pe primul loc, cu punctaje egale, departajarea se va face avand in vedere punctajul obtinut la factorii de evaluare in ordinea descrescatoare a ponderilor acestora. In situatia in care egalitatea se mentine, autoritatea contractanta are dreptul sa solicite noi propuneri financiare, si oferta castigatoare va fi desemnata cea cu propunerea financiara cea mai mica.</w:t>
            </w:r>
          </w:p>
          <w:p>
            <w:pPr>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2. Nu se accepta oferte alternative.</w:t>
            </w:r>
          </w:p>
          <w:p>
            <w:pPr>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3. Potrivit prevederilor art. 57 alin. (1) si alin. (4) din Legea nr. 98/2016, cu modificarile si completarile ulterioare, „(1) Fara a aduce atingere celorlalte prevederi ale prezentei legi sau dispozitiilor legale privind liberul acces la informatiile de interes public ori ale altor acte normative care reglementeaza activitatea autoritatii contractante, autoritatea contractanta are obligatia de a nu dezvalui informatiile din propunerea tehnica, elementele din propunerea financiara si/sau fundamentari/justificari de pret/cost transmise de operatorii economici indicate si dovedite de acestia ca fiind confidentiale intrucat sunt: date cu caracter personal, secrete tehnice sau comerciale sau sunt protejate de un drept de proprietate intelectuala. Caracterul confidential se aplica doar asupra datelor/informatiilor indicate si dovedite ca fiind date cu caracter personal, secrete tehnice sau comerciale sau sunt protejate de un drept de proprietate intelectuala. (...) (4) Operatorii economici indica si dovedesc in cuprinsul ofertei care informatii din propunerea tehnica, elemente din propunerea financiara si/sau fundamentari/justificari de pret/cost sunt confidentiale intrucat sunt: date cu caracter personal, secrete tehnice sau comerciale sau sunt protejate de un drept de proprietate intelectuala. Informatiile indicate de operatorii economici din propunerea tehnica, elemente din propunerea financiara si/sau fundamentari/justificari de pret/cost ca fiind confidentiale trebuie sa fie insotite de dovada </w:t>
            </w:r>
            <w:r>
              <w:rPr>
                <w:rFonts w:ascii="Calibri" w:eastAsiaTheme="minorHAnsi" w:hAnsi="Calibri" w:cs="Calibri"/>
                <w:noProof w:val="0"/>
                <w:sz w:val="22"/>
                <w:szCs w:val="22"/>
                <w:lang w:eastAsia="en-US"/>
              </w:rPr>
              <w:lastRenderedPageBreak/>
              <w:t>care le confera caracterul de confidentialitate, dovada ce devine anexa la oferta, in caz contrar nefiind aplicabile prevederile alin. (1).”</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lastRenderedPageBreak/>
              <w:t>VI.4) Proceduri de contestare</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VI.4.1) Organismul de soluţionare a contestaţiilor</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Denumire oficială: Consiliul Naţional de Soluţionare a Contestaţiilor</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Adresă: Str. Stavropoleos nr. 6, sector 3</w:t>
            </w:r>
          </w:p>
        </w:tc>
      </w:tr>
      <w:tr>
        <w:tc>
          <w:tcPr>
            <w:tcW w:w="40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Localitate: Bucureşti  </w:t>
            </w:r>
          </w:p>
        </w:tc>
        <w:tc>
          <w:tcPr>
            <w:tcW w:w="3936"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poştal: 030084</w:t>
            </w:r>
          </w:p>
        </w:tc>
        <w:tc>
          <w:tcPr>
            <w:tcW w:w="1893"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Ţară: România</w:t>
            </w:r>
          </w:p>
        </w:tc>
      </w:tr>
      <w:tr>
        <w:tc>
          <w:tcPr>
            <w:tcW w:w="40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u w:val="single"/>
                <w:lang w:eastAsia="en-US"/>
              </w:rPr>
            </w:pPr>
            <w:r>
              <w:rPr>
                <w:rFonts w:ascii="Calibri" w:eastAsiaTheme="minorHAnsi" w:hAnsi="Calibri" w:cs="Calibri"/>
                <w:noProof w:val="0"/>
                <w:sz w:val="22"/>
                <w:szCs w:val="22"/>
                <w:lang w:eastAsia="en-US"/>
              </w:rPr>
              <w:t xml:space="preserve">E-mail: </w:t>
            </w:r>
            <w:r>
              <w:rPr>
                <w:rFonts w:ascii="Calibri" w:eastAsiaTheme="minorHAnsi" w:hAnsi="Calibri" w:cs="Calibri"/>
                <w:noProof w:val="0"/>
                <w:sz w:val="22"/>
                <w:szCs w:val="22"/>
                <w:u w:val="single"/>
                <w:lang w:eastAsia="en-US"/>
              </w:rPr>
              <w:t>office@cnsc.ro</w:t>
            </w:r>
          </w:p>
        </w:tc>
        <w:tc>
          <w:tcPr>
            <w:tcW w:w="3936"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Telefon: +40 213104641</w:t>
            </w:r>
          </w:p>
        </w:tc>
        <w:tc>
          <w:tcPr>
            <w:tcW w:w="1893"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p>
        </w:tc>
      </w:tr>
      <w:tr>
        <w:tc>
          <w:tcPr>
            <w:tcW w:w="4086"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Adresă Internet (URL) : www.cnsc.ro</w:t>
            </w:r>
          </w:p>
        </w:tc>
        <w:tc>
          <w:tcPr>
            <w:tcW w:w="3936"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Fax: +40 213104642 / +40 218900745</w:t>
            </w:r>
          </w:p>
        </w:tc>
        <w:tc>
          <w:tcPr>
            <w:tcW w:w="1893"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b/>
                <w:bCs/>
                <w:noProof w:val="0"/>
                <w:sz w:val="22"/>
                <w:szCs w:val="22"/>
                <w:lang w:eastAsia="en-US"/>
              </w:rPr>
              <w:t>VI.4.3) Procedura de contestare</w:t>
            </w:r>
            <w:r>
              <w:rPr>
                <w:rFonts w:ascii="Calibri" w:eastAsiaTheme="minorHAnsi" w:hAnsi="Calibri" w:cs="Calibri"/>
                <w:noProof w:val="0"/>
                <w:sz w:val="22"/>
                <w:szCs w:val="22"/>
                <w:lang w:eastAsia="en-US"/>
              </w:rPr>
              <w:t xml:space="preserve"> </w:t>
            </w:r>
          </w:p>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hAnsi="Calibri" w:cs="Calibri"/>
                <w:sz w:val="22"/>
                <w:szCs w:val="22"/>
                <w:lang w:eastAsia="ro-RO"/>
              </w:rPr>
              <w:t>Conform prevederilor Legii nr. 101/2016 privind remediile și căile de atac în materie de atribuire a contractelor de achiziţie publică, a contractelor sectoriale și a contractelor de concesiune de lucrări și concesiune de servicii, cu modificarile și completarile ulterioare, precum şi pentru organizarea și funcţionarea Consiliului Naţional de Soluţionare a Contestaţiilor.</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rPr>
                <w:rFonts w:ascii="Calibri" w:eastAsiaTheme="minorHAnsi" w:hAnsi="Calibri" w:cs="Calibri"/>
                <w:b/>
                <w:bCs/>
                <w:noProof w:val="0"/>
                <w:sz w:val="22"/>
                <w:szCs w:val="22"/>
                <w:lang w:eastAsia="en-US"/>
              </w:rPr>
            </w:pPr>
            <w:r>
              <w:rPr>
                <w:rFonts w:ascii="Calibri" w:eastAsiaTheme="minorHAnsi" w:hAnsi="Calibri" w:cs="Calibri"/>
                <w:b/>
                <w:bCs/>
                <w:noProof w:val="0"/>
                <w:sz w:val="22"/>
                <w:szCs w:val="22"/>
                <w:lang w:eastAsia="en-US"/>
              </w:rPr>
              <w:t>VI.4.4) Serviciul de la care se pot obţine informaţii privind procedura de contestare</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Denumire oficială: Consiliul Judetean Galati - Serviciul Licitatii</w:t>
            </w:r>
          </w:p>
        </w:tc>
      </w:tr>
      <w:tr>
        <w:tc>
          <w:tcPr>
            <w:tcW w:w="9915" w:type="dxa"/>
            <w:gridSpan w:val="5"/>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Adresă: Str. Eroilor nr. 7</w:t>
            </w:r>
          </w:p>
        </w:tc>
      </w:tr>
      <w:tr>
        <w:tc>
          <w:tcPr>
            <w:tcW w:w="4627"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Localitate: Galați</w:t>
            </w:r>
          </w:p>
        </w:tc>
        <w:tc>
          <w:tcPr>
            <w:tcW w:w="2854" w:type="dxa"/>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Cod poştal: 800119;</w:t>
            </w:r>
          </w:p>
        </w:tc>
        <w:tc>
          <w:tcPr>
            <w:tcW w:w="2434"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Ţară: România</w:t>
            </w:r>
          </w:p>
        </w:tc>
      </w:tr>
      <w:tr>
        <w:tc>
          <w:tcPr>
            <w:tcW w:w="4627"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E-mail: </w:t>
            </w:r>
            <w:hyperlink r:id="rId16" w:history="1">
              <w:r>
                <w:rPr>
                  <w:rStyle w:val="Hyperlink"/>
                  <w:rFonts w:ascii="Calibri" w:eastAsiaTheme="minorHAnsi" w:hAnsi="Calibri" w:cs="Calibri"/>
                  <w:noProof w:val="0"/>
                  <w:sz w:val="22"/>
                  <w:szCs w:val="22"/>
                  <w:lang w:eastAsia="en-US"/>
                </w:rPr>
                <w:t>licitatii@cjgalati.ro</w:t>
              </w:r>
            </w:hyperlink>
            <w:r>
              <w:rPr>
                <w:rFonts w:ascii="Calibri" w:eastAsiaTheme="minorHAnsi" w:hAnsi="Calibri" w:cs="Calibri"/>
                <w:noProof w:val="0"/>
                <w:sz w:val="22"/>
                <w:szCs w:val="22"/>
                <w:lang w:eastAsia="en-US"/>
              </w:rPr>
              <w:t xml:space="preserve"> </w:t>
            </w:r>
          </w:p>
        </w:tc>
        <w:tc>
          <w:tcPr>
            <w:tcW w:w="5288"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Telefon: +40 0236302503</w:t>
            </w:r>
          </w:p>
        </w:tc>
      </w:tr>
      <w:tr>
        <w:tc>
          <w:tcPr>
            <w:tcW w:w="4627" w:type="dxa"/>
            <w:gridSpan w:val="2"/>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Adresă Internet (URL) : </w:t>
            </w:r>
            <w:hyperlink r:id="rId17" w:history="1">
              <w:r>
                <w:rPr>
                  <w:rStyle w:val="Hyperlink"/>
                  <w:rFonts w:ascii="Calibri" w:eastAsiaTheme="minorHAnsi" w:hAnsi="Calibri" w:cs="Calibri"/>
                  <w:noProof w:val="0"/>
                  <w:sz w:val="22"/>
                  <w:szCs w:val="22"/>
                  <w:lang w:eastAsia="en-US"/>
                </w:rPr>
                <w:t>www.cjgalati.ro</w:t>
              </w:r>
            </w:hyperlink>
            <w:r>
              <w:rPr>
                <w:rFonts w:ascii="Calibri" w:eastAsiaTheme="minorHAnsi" w:hAnsi="Calibri" w:cs="Calibri"/>
                <w:noProof w:val="0"/>
                <w:sz w:val="22"/>
                <w:szCs w:val="22"/>
                <w:lang w:eastAsia="en-US"/>
              </w:rPr>
              <w:t xml:space="preserve"> </w:t>
            </w:r>
          </w:p>
        </w:tc>
        <w:tc>
          <w:tcPr>
            <w:tcW w:w="5288" w:type="dxa"/>
            <w:gridSpan w:val="3"/>
            <w:tcBorders>
              <w:top w:val="single" w:sz="6" w:space="0" w:color="000000"/>
              <w:left w:val="single" w:sz="6" w:space="0" w:color="000000"/>
              <w:bottom w:val="single" w:sz="6" w:space="0" w:color="000000"/>
              <w:right w:val="single" w:sz="6" w:space="0" w:color="000000"/>
            </w:tcBorders>
          </w:tcPr>
          <w:p>
            <w:pPr>
              <w:suppressAutoHyphens w:val="0"/>
              <w:autoSpaceDE w:val="0"/>
              <w:autoSpaceDN w:val="0"/>
              <w:adjustRightInd w:val="0"/>
              <w:jc w:val="both"/>
              <w:rPr>
                <w:rFonts w:ascii="Calibri" w:eastAsiaTheme="minorHAnsi" w:hAnsi="Calibri" w:cs="Calibri"/>
                <w:noProof w:val="0"/>
                <w:sz w:val="22"/>
                <w:szCs w:val="22"/>
                <w:lang w:eastAsia="en-US"/>
              </w:rPr>
            </w:pPr>
            <w:r>
              <w:rPr>
                <w:rFonts w:ascii="Calibri" w:eastAsiaTheme="minorHAnsi" w:hAnsi="Calibri" w:cs="Calibri"/>
                <w:noProof w:val="0"/>
                <w:sz w:val="22"/>
                <w:szCs w:val="22"/>
                <w:lang w:eastAsia="en-US"/>
              </w:rPr>
              <w:t xml:space="preserve">Fax: </w:t>
            </w:r>
          </w:p>
        </w:tc>
      </w:tr>
    </w:tbl>
    <w:p>
      <w:pPr>
        <w:suppressAutoHyphens w:val="0"/>
        <w:autoSpaceDE w:val="0"/>
        <w:autoSpaceDN w:val="0"/>
        <w:adjustRightInd w:val="0"/>
        <w:rPr>
          <w:rFonts w:ascii="Calibri" w:eastAsiaTheme="minorHAnsi" w:hAnsi="Calibri" w:cs="Calibri"/>
          <w:noProof w:val="0"/>
          <w:sz w:val="22"/>
          <w:szCs w:val="22"/>
          <w:lang w:eastAsia="en-US"/>
        </w:rPr>
      </w:pPr>
    </w:p>
    <w:sectPr>
      <w:headerReference w:type="even" r:id="rId18"/>
      <w:headerReference w:type="default" r:id="rId19"/>
      <w:footerReference w:type="even" r:id="rId20"/>
      <w:footerReference w:type="default" r:id="rId21"/>
      <w:headerReference w:type="first" r:id="rId22"/>
      <w:footerReference w:type="first" r:id="rId23"/>
      <w:pgSz w:w="11906" w:h="16838" w:code="9"/>
      <w:pgMar w:top="709" w:right="926" w:bottom="851" w:left="1418" w:header="630" w:footer="244" w:gutter="0"/>
      <w:pgNumType w:start="4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Demi">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4" w:space="0" w:color="auto"/>
      </w:pBdr>
      <w:tabs>
        <w:tab w:val="center" w:pos="4320"/>
        <w:tab w:val="right" w:pos="8640"/>
      </w:tabs>
      <w:jc w:val="center"/>
      <w:outlineLvl w:val="0"/>
      <w:rPr>
        <w:rFonts w:ascii="Arial" w:hAnsi="Arial"/>
        <w:b/>
        <w:sz w:val="28"/>
        <w:szCs w:val="28"/>
        <w:lang w:eastAsia="en-US"/>
      </w:rPr>
    </w:pPr>
    <w:bookmarkStart w:id="22" w:name="_Hlk230263217"/>
    <w:bookmarkStart w:id="23" w:name="_Hlk230263216"/>
    <w:bookmarkStart w:id="24" w:name="_GoBack"/>
    <w:bookmarkEnd w:id="24"/>
    <w:r>
      <w:rPr>
        <w:rFonts w:ascii="Arial" w:hAnsi="Arial"/>
        <w:b/>
        <w:sz w:val="28"/>
        <w:szCs w:val="28"/>
        <w:lang w:eastAsia="en-US"/>
      </w:rPr>
      <w:t>HOTÃRÂREA NR. ________din_______________2026</w:t>
    </w:r>
  </w:p>
  <w:p>
    <w:pPr>
      <w:pBdr>
        <w:bottom w:val="single" w:sz="4" w:space="1" w:color="auto"/>
      </w:pBdr>
      <w:tabs>
        <w:tab w:val="center" w:pos="4320"/>
        <w:tab w:val="right" w:pos="8640"/>
      </w:tabs>
      <w:jc w:val="center"/>
      <w:rPr>
        <w:rFonts w:ascii="Arial" w:hAnsi="Arial"/>
        <w:b/>
        <w:noProof w:val="0"/>
        <w:sz w:val="28"/>
        <w:szCs w:val="28"/>
        <w:lang w:eastAsia="en-US"/>
      </w:rPr>
    </w:pPr>
    <w:r>
      <w:rPr>
        <w:rFonts w:ascii="Arial" w:hAnsi="Arial"/>
        <w:b/>
        <w:sz w:val="28"/>
        <w:szCs w:val="28"/>
        <w:lang w:eastAsia="en-US"/>
      </w:rPr>
      <w:t xml:space="preserve">Pag. nr. </w:t>
    </w:r>
    <w:r>
      <w:fldChar w:fldCharType="begin"/>
    </w:r>
    <w:r>
      <w:rPr>
        <w:rFonts w:ascii="Arial" w:hAnsi="Arial"/>
        <w:b/>
        <w:sz w:val="28"/>
        <w:szCs w:val="28"/>
        <w:lang w:eastAsia="en-US"/>
      </w:rPr>
      <w:instrText xml:space="preserve"> PAGE </w:instrText>
    </w:r>
    <w:r>
      <w:fldChar w:fldCharType="separate"/>
    </w:r>
    <w:r>
      <w:rPr>
        <w:rFonts w:ascii="Arial" w:hAnsi="Arial"/>
        <w:b/>
        <w:sz w:val="28"/>
        <w:szCs w:val="28"/>
        <w:lang w:eastAsia="en-US"/>
      </w:rPr>
      <w:t>449</w:t>
    </w:r>
    <w:r>
      <w:fldChar w:fldCharType="end"/>
    </w:r>
  </w:p>
  <w:bookmarkEnd w:id="22"/>
  <w:bookmarkEnd w:id="23"/>
  <w:p>
    <w:pPr>
      <w:tabs>
        <w:tab w:val="center" w:pos="4320"/>
        <w:tab w:val="right" w:pos="8640"/>
      </w:tabs>
      <w:rPr>
        <w:sz w:val="20"/>
        <w:szCs w:val="20"/>
        <w:lang w:eastAsia="x-none"/>
      </w:rPr>
    </w:pPr>
  </w:p>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974D8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BA59D9"/>
    <w:multiLevelType w:val="multilevel"/>
    <w:tmpl w:val="7BCF2F2A"/>
    <w:lvl w:ilvl="0">
      <w:numFmt w:val="bullet"/>
      <w:lvlText w:val="-"/>
      <w:lvlJc w:val="left"/>
      <w:pPr>
        <w:tabs>
          <w:tab w:val="num" w:pos="780"/>
        </w:tabs>
        <w:ind w:left="78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15:restartNumberingAfterBreak="0">
    <w:nsid w:val="16585F80"/>
    <w:multiLevelType w:val="hybridMultilevel"/>
    <w:tmpl w:val="A9FA54C2"/>
    <w:lvl w:ilvl="0" w:tplc="F20438C0">
      <w:start w:val="3"/>
      <w:numFmt w:val="bullet"/>
      <w:lvlText w:val="-"/>
      <w:lvlJc w:val="left"/>
      <w:pPr>
        <w:ind w:left="2783" w:hanging="360"/>
      </w:pPr>
      <w:rPr>
        <w:rFonts w:ascii="Arial" w:eastAsia="Times New Roman" w:hAnsi="Arial" w:cs="Arial" w:hint="default"/>
        <w:color w:val="auto"/>
      </w:rPr>
    </w:lvl>
    <w:lvl w:ilvl="1" w:tplc="04090003" w:tentative="1">
      <w:start w:val="1"/>
      <w:numFmt w:val="bullet"/>
      <w:lvlText w:val="o"/>
      <w:lvlJc w:val="left"/>
      <w:pPr>
        <w:ind w:left="3503" w:hanging="360"/>
      </w:pPr>
      <w:rPr>
        <w:rFonts w:ascii="Courier New" w:hAnsi="Courier New" w:cs="Courier New" w:hint="default"/>
      </w:rPr>
    </w:lvl>
    <w:lvl w:ilvl="2" w:tplc="04090005" w:tentative="1">
      <w:start w:val="1"/>
      <w:numFmt w:val="bullet"/>
      <w:lvlText w:val=""/>
      <w:lvlJc w:val="left"/>
      <w:pPr>
        <w:ind w:left="4223" w:hanging="360"/>
      </w:pPr>
      <w:rPr>
        <w:rFonts w:ascii="Wingdings" w:hAnsi="Wingdings" w:hint="default"/>
      </w:rPr>
    </w:lvl>
    <w:lvl w:ilvl="3" w:tplc="04090001" w:tentative="1">
      <w:start w:val="1"/>
      <w:numFmt w:val="bullet"/>
      <w:lvlText w:val=""/>
      <w:lvlJc w:val="left"/>
      <w:pPr>
        <w:ind w:left="4943" w:hanging="360"/>
      </w:pPr>
      <w:rPr>
        <w:rFonts w:ascii="Symbol" w:hAnsi="Symbol" w:hint="default"/>
      </w:rPr>
    </w:lvl>
    <w:lvl w:ilvl="4" w:tplc="04090003" w:tentative="1">
      <w:start w:val="1"/>
      <w:numFmt w:val="bullet"/>
      <w:lvlText w:val="o"/>
      <w:lvlJc w:val="left"/>
      <w:pPr>
        <w:ind w:left="5663" w:hanging="360"/>
      </w:pPr>
      <w:rPr>
        <w:rFonts w:ascii="Courier New" w:hAnsi="Courier New" w:cs="Courier New" w:hint="default"/>
      </w:rPr>
    </w:lvl>
    <w:lvl w:ilvl="5" w:tplc="04090005" w:tentative="1">
      <w:start w:val="1"/>
      <w:numFmt w:val="bullet"/>
      <w:lvlText w:val=""/>
      <w:lvlJc w:val="left"/>
      <w:pPr>
        <w:ind w:left="6383" w:hanging="360"/>
      </w:pPr>
      <w:rPr>
        <w:rFonts w:ascii="Wingdings" w:hAnsi="Wingdings" w:hint="default"/>
      </w:rPr>
    </w:lvl>
    <w:lvl w:ilvl="6" w:tplc="04090001" w:tentative="1">
      <w:start w:val="1"/>
      <w:numFmt w:val="bullet"/>
      <w:lvlText w:val=""/>
      <w:lvlJc w:val="left"/>
      <w:pPr>
        <w:ind w:left="7103" w:hanging="360"/>
      </w:pPr>
      <w:rPr>
        <w:rFonts w:ascii="Symbol" w:hAnsi="Symbol" w:hint="default"/>
      </w:rPr>
    </w:lvl>
    <w:lvl w:ilvl="7" w:tplc="04090003" w:tentative="1">
      <w:start w:val="1"/>
      <w:numFmt w:val="bullet"/>
      <w:lvlText w:val="o"/>
      <w:lvlJc w:val="left"/>
      <w:pPr>
        <w:ind w:left="7823" w:hanging="360"/>
      </w:pPr>
      <w:rPr>
        <w:rFonts w:ascii="Courier New" w:hAnsi="Courier New" w:cs="Courier New" w:hint="default"/>
      </w:rPr>
    </w:lvl>
    <w:lvl w:ilvl="8" w:tplc="04090005" w:tentative="1">
      <w:start w:val="1"/>
      <w:numFmt w:val="bullet"/>
      <w:lvlText w:val=""/>
      <w:lvlJc w:val="left"/>
      <w:pPr>
        <w:ind w:left="8543" w:hanging="360"/>
      </w:pPr>
      <w:rPr>
        <w:rFonts w:ascii="Wingdings" w:hAnsi="Wingdings" w:hint="default"/>
      </w:rPr>
    </w:lvl>
  </w:abstractNum>
  <w:abstractNum w:abstractNumId="3" w15:restartNumberingAfterBreak="0">
    <w:nsid w:val="18204BB7"/>
    <w:multiLevelType w:val="multilevel"/>
    <w:tmpl w:val="6CAD8DF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Arial" w:hAnsi="Arial" w:cs="Aria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 w15:restartNumberingAfterBreak="0">
    <w:nsid w:val="1B693082"/>
    <w:multiLevelType w:val="hybridMultilevel"/>
    <w:tmpl w:val="F5FA3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CDC91BE">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CE1B0"/>
    <w:multiLevelType w:val="multilevel"/>
    <w:tmpl w:val="6C540E55"/>
    <w:lvl w:ilvl="0">
      <w:numFmt w:val="bullet"/>
      <w:lvlText w:val="o"/>
      <w:lvlJc w:val="left"/>
      <w:pPr>
        <w:tabs>
          <w:tab w:val="num" w:pos="705"/>
        </w:tabs>
        <w:ind w:left="705" w:hanging="360"/>
      </w:pPr>
      <w:rPr>
        <w:rFonts w:ascii="Courier New" w:hAnsi="Courier New" w:cs="Courier New"/>
        <w:sz w:val="20"/>
        <w:szCs w:val="20"/>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6" w15:restartNumberingAfterBreak="0">
    <w:nsid w:val="1D21FD6E"/>
    <w:multiLevelType w:val="multilevel"/>
    <w:tmpl w:val="370C154A"/>
    <w:lvl w:ilvl="0">
      <w:numFmt w:val="bullet"/>
      <w:lvlText w:val="Ř"/>
      <w:lvlJc w:val="left"/>
      <w:pPr>
        <w:tabs>
          <w:tab w:val="num" w:pos="720"/>
        </w:tabs>
        <w:ind w:left="720" w:hanging="360"/>
      </w:pPr>
      <w:rPr>
        <w:rFonts w:ascii="Wingdings" w:hAnsi="Wingdings" w:cs="Wingdings"/>
        <w:color w:val="auto"/>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15:restartNumberingAfterBreak="0">
    <w:nsid w:val="1DB1342D"/>
    <w:multiLevelType w:val="hybridMultilevel"/>
    <w:tmpl w:val="A5FE7B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2D83E03"/>
    <w:multiLevelType w:val="hybridMultilevel"/>
    <w:tmpl w:val="8C52B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CD6EE9"/>
    <w:multiLevelType w:val="multilevel"/>
    <w:tmpl w:val="7E3AE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3D1398"/>
    <w:multiLevelType w:val="hybridMultilevel"/>
    <w:tmpl w:val="DE3AE51E"/>
    <w:lvl w:ilvl="0" w:tplc="EACAFC34">
      <w:start w:val="1"/>
      <w:numFmt w:val="bullet"/>
      <w:pStyle w:val="BulletIndent"/>
      <w:lvlText w:val=""/>
      <w:lvlJc w:val="left"/>
      <w:pPr>
        <w:tabs>
          <w:tab w:val="num" w:pos="0"/>
        </w:tabs>
        <w:ind w:left="1276" w:hanging="283"/>
      </w:pPr>
      <w:rPr>
        <w:rFonts w:ascii="Wingdings" w:hAnsi="Wingdings" w:hint="default"/>
        <w:sz w:val="22"/>
      </w:rPr>
    </w:lvl>
    <w:lvl w:ilvl="1" w:tplc="07A0F1B8">
      <w:start w:val="1"/>
      <w:numFmt w:val="bullet"/>
      <w:lvlText w:val="o"/>
      <w:lvlJc w:val="left"/>
      <w:pPr>
        <w:tabs>
          <w:tab w:val="num" w:pos="1440"/>
        </w:tabs>
        <w:ind w:left="1440" w:hanging="360"/>
      </w:pPr>
      <w:rPr>
        <w:rFonts w:ascii="Courier New" w:hAnsi="Courier New" w:hint="default"/>
      </w:rPr>
    </w:lvl>
    <w:lvl w:ilvl="2" w:tplc="C452F238">
      <w:start w:val="1"/>
      <w:numFmt w:val="bullet"/>
      <w:lvlText w:val=""/>
      <w:lvlJc w:val="left"/>
      <w:pPr>
        <w:tabs>
          <w:tab w:val="num" w:pos="2160"/>
        </w:tabs>
        <w:ind w:left="2160" w:hanging="360"/>
      </w:pPr>
      <w:rPr>
        <w:rFonts w:ascii="Wingdings" w:hAnsi="Wingdings" w:hint="default"/>
      </w:rPr>
    </w:lvl>
    <w:lvl w:ilvl="3" w:tplc="F58ED15C">
      <w:start w:val="1"/>
      <w:numFmt w:val="bullet"/>
      <w:lvlText w:val=""/>
      <w:lvlJc w:val="left"/>
      <w:pPr>
        <w:tabs>
          <w:tab w:val="num" w:pos="2880"/>
        </w:tabs>
        <w:ind w:left="2880" w:hanging="360"/>
      </w:pPr>
      <w:rPr>
        <w:rFonts w:ascii="Symbol" w:hAnsi="Symbol" w:hint="default"/>
      </w:rPr>
    </w:lvl>
    <w:lvl w:ilvl="4" w:tplc="5956C916">
      <w:start w:val="1"/>
      <w:numFmt w:val="bullet"/>
      <w:lvlText w:val="o"/>
      <w:lvlJc w:val="left"/>
      <w:pPr>
        <w:tabs>
          <w:tab w:val="num" w:pos="3600"/>
        </w:tabs>
        <w:ind w:left="3600" w:hanging="360"/>
      </w:pPr>
      <w:rPr>
        <w:rFonts w:ascii="Courier New" w:hAnsi="Courier New" w:hint="default"/>
      </w:rPr>
    </w:lvl>
    <w:lvl w:ilvl="5" w:tplc="CCCE8F9A">
      <w:start w:val="1"/>
      <w:numFmt w:val="bullet"/>
      <w:lvlText w:val=""/>
      <w:lvlJc w:val="left"/>
      <w:pPr>
        <w:tabs>
          <w:tab w:val="num" w:pos="4320"/>
        </w:tabs>
        <w:ind w:left="4320" w:hanging="360"/>
      </w:pPr>
      <w:rPr>
        <w:rFonts w:ascii="Wingdings" w:hAnsi="Wingdings" w:hint="default"/>
      </w:rPr>
    </w:lvl>
    <w:lvl w:ilvl="6" w:tplc="97589340">
      <w:start w:val="1"/>
      <w:numFmt w:val="bullet"/>
      <w:lvlText w:val=""/>
      <w:lvlJc w:val="left"/>
      <w:pPr>
        <w:tabs>
          <w:tab w:val="num" w:pos="5040"/>
        </w:tabs>
        <w:ind w:left="5040" w:hanging="360"/>
      </w:pPr>
      <w:rPr>
        <w:rFonts w:ascii="Symbol" w:hAnsi="Symbol" w:hint="default"/>
      </w:rPr>
    </w:lvl>
    <w:lvl w:ilvl="7" w:tplc="9132A6A6">
      <w:start w:val="1"/>
      <w:numFmt w:val="bullet"/>
      <w:lvlText w:val="o"/>
      <w:lvlJc w:val="left"/>
      <w:pPr>
        <w:tabs>
          <w:tab w:val="num" w:pos="5760"/>
        </w:tabs>
        <w:ind w:left="5760" w:hanging="360"/>
      </w:pPr>
      <w:rPr>
        <w:rFonts w:ascii="Courier New" w:hAnsi="Courier New" w:hint="default"/>
      </w:rPr>
    </w:lvl>
    <w:lvl w:ilvl="8" w:tplc="DD20A76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5382F"/>
    <w:multiLevelType w:val="hybridMultilevel"/>
    <w:tmpl w:val="3DAA3562"/>
    <w:lvl w:ilvl="0" w:tplc="08090017">
      <w:start w:val="1"/>
      <w:numFmt w:val="lowerLetter"/>
      <w:lvlText w:val="%1)"/>
      <w:lvlJc w:val="left"/>
      <w:pPr>
        <w:tabs>
          <w:tab w:val="num" w:pos="720"/>
        </w:tabs>
        <w:ind w:left="720" w:hanging="360"/>
      </w:pPr>
      <w:rPr>
        <w:rFonts w:cs="Times New Roman"/>
      </w:rPr>
    </w:lvl>
    <w:lvl w:ilvl="1" w:tplc="840C284C">
      <w:start w:val="1"/>
      <w:numFmt w:val="decimal"/>
      <w:lvlText w:val="%2."/>
      <w:lvlJc w:val="center"/>
      <w:pPr>
        <w:tabs>
          <w:tab w:val="num" w:pos="1080"/>
        </w:tabs>
        <w:ind w:left="910" w:firstLine="170"/>
      </w:pPr>
      <w:rPr>
        <w:rFonts w:cs="Times New Roman"/>
      </w:rPr>
    </w:lvl>
    <w:lvl w:ilvl="2" w:tplc="0809001B">
      <w:start w:val="1"/>
      <w:numFmt w:val="lowerRoman"/>
      <w:lvlText w:val="%3."/>
      <w:lvlJc w:val="right"/>
      <w:pPr>
        <w:tabs>
          <w:tab w:val="num" w:pos="2160"/>
        </w:tabs>
        <w:ind w:left="2160" w:hanging="180"/>
      </w:pPr>
      <w:rPr>
        <w:rFonts w:cs="Times New Roman"/>
      </w:rPr>
    </w:lvl>
    <w:lvl w:ilvl="3" w:tplc="60D8B536">
      <w:start w:val="1"/>
      <w:numFmt w:val="lowerLetter"/>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3B41EADD"/>
    <w:multiLevelType w:val="multilevel"/>
    <w:tmpl w:val="71C4EF5E"/>
    <w:lvl w:ilvl="0">
      <w:numFmt w:val="bullet"/>
      <w:lvlText w:val="-"/>
      <w:lvlJc w:val="left"/>
      <w:pPr>
        <w:tabs>
          <w:tab w:val="num" w:pos="165"/>
        </w:tabs>
        <w:ind w:left="165" w:hanging="18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3" w15:restartNumberingAfterBreak="0">
    <w:nsid w:val="42F271FB"/>
    <w:multiLevelType w:val="hybridMultilevel"/>
    <w:tmpl w:val="ACA4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1A6F0"/>
    <w:multiLevelType w:val="multilevel"/>
    <w:tmpl w:val="38580296"/>
    <w:lvl w:ilvl="0">
      <w:numFmt w:val="bullet"/>
      <w:lvlText w:val="·"/>
      <w:lvlJc w:val="left"/>
      <w:pPr>
        <w:tabs>
          <w:tab w:val="num" w:pos="720"/>
        </w:tabs>
        <w:ind w:left="720" w:hanging="360"/>
      </w:pPr>
      <w:rPr>
        <w:rFonts w:ascii="Symbol" w:hAnsi="Symbol" w:cs="Symbol"/>
        <w:b/>
        <w:bCs/>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Arial" w:hAnsi="Arial" w:cs="Aria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5" w15:restartNumberingAfterBreak="0">
    <w:nsid w:val="469E6F49"/>
    <w:multiLevelType w:val="hybridMultilevel"/>
    <w:tmpl w:val="4AA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FC6EC6"/>
    <w:multiLevelType w:val="hybridMultilevel"/>
    <w:tmpl w:val="ECFAB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551DDBF"/>
    <w:multiLevelType w:val="multilevel"/>
    <w:tmpl w:val="4DACBE58"/>
    <w:lvl w:ilvl="0">
      <w:numFmt w:val="bullet"/>
      <w:lvlText w:val="o"/>
      <w:lvlJc w:val="left"/>
      <w:pPr>
        <w:tabs>
          <w:tab w:val="num" w:pos="885"/>
        </w:tabs>
        <w:ind w:left="885" w:hanging="360"/>
      </w:pPr>
      <w:rPr>
        <w:rFonts w:ascii="Courier New" w:hAnsi="Courier New" w:cs="Courier New"/>
        <w:sz w:val="24"/>
        <w:szCs w:val="24"/>
      </w:rPr>
    </w:lvl>
    <w:lvl w:ilvl="1">
      <w:numFmt w:val="bullet"/>
      <w:lvlText w:val="o"/>
      <w:lvlJc w:val="left"/>
      <w:pPr>
        <w:tabs>
          <w:tab w:val="num" w:pos="1605"/>
        </w:tabs>
        <w:ind w:left="1605" w:hanging="360"/>
      </w:pPr>
      <w:rPr>
        <w:rFonts w:ascii="Courier New" w:hAnsi="Courier New" w:cs="Courier New"/>
        <w:sz w:val="24"/>
        <w:szCs w:val="24"/>
      </w:rPr>
    </w:lvl>
    <w:lvl w:ilvl="2">
      <w:numFmt w:val="bullet"/>
      <w:lvlText w:val="§"/>
      <w:lvlJc w:val="left"/>
      <w:pPr>
        <w:tabs>
          <w:tab w:val="num" w:pos="2325"/>
        </w:tabs>
        <w:ind w:left="2325" w:hanging="360"/>
      </w:pPr>
      <w:rPr>
        <w:rFonts w:ascii="Wingdings" w:hAnsi="Wingdings" w:cs="Wingdings"/>
        <w:sz w:val="24"/>
        <w:szCs w:val="24"/>
      </w:rPr>
    </w:lvl>
    <w:lvl w:ilvl="3">
      <w:numFmt w:val="bullet"/>
      <w:lvlText w:val="·"/>
      <w:lvlJc w:val="left"/>
      <w:pPr>
        <w:tabs>
          <w:tab w:val="num" w:pos="3045"/>
        </w:tabs>
        <w:ind w:left="3045" w:hanging="360"/>
      </w:pPr>
      <w:rPr>
        <w:rFonts w:ascii="Symbol" w:hAnsi="Symbol" w:cs="Symbol"/>
        <w:sz w:val="24"/>
        <w:szCs w:val="24"/>
      </w:rPr>
    </w:lvl>
    <w:lvl w:ilvl="4">
      <w:numFmt w:val="bullet"/>
      <w:lvlText w:val="o"/>
      <w:lvlJc w:val="left"/>
      <w:pPr>
        <w:tabs>
          <w:tab w:val="num" w:pos="3765"/>
        </w:tabs>
        <w:ind w:left="3765" w:hanging="360"/>
      </w:pPr>
      <w:rPr>
        <w:rFonts w:ascii="Courier New" w:hAnsi="Courier New" w:cs="Courier New"/>
        <w:sz w:val="24"/>
        <w:szCs w:val="24"/>
      </w:rPr>
    </w:lvl>
    <w:lvl w:ilvl="5">
      <w:numFmt w:val="bullet"/>
      <w:lvlText w:val="§"/>
      <w:lvlJc w:val="left"/>
      <w:pPr>
        <w:tabs>
          <w:tab w:val="num" w:pos="4485"/>
        </w:tabs>
        <w:ind w:left="4485" w:hanging="360"/>
      </w:pPr>
      <w:rPr>
        <w:rFonts w:ascii="Wingdings" w:hAnsi="Wingdings" w:cs="Wingdings"/>
        <w:sz w:val="24"/>
        <w:szCs w:val="24"/>
      </w:rPr>
    </w:lvl>
    <w:lvl w:ilvl="6">
      <w:numFmt w:val="bullet"/>
      <w:lvlText w:val="·"/>
      <w:lvlJc w:val="left"/>
      <w:pPr>
        <w:tabs>
          <w:tab w:val="num" w:pos="5205"/>
        </w:tabs>
        <w:ind w:left="5205" w:hanging="360"/>
      </w:pPr>
      <w:rPr>
        <w:rFonts w:ascii="Symbol" w:hAnsi="Symbol" w:cs="Symbol"/>
        <w:sz w:val="24"/>
        <w:szCs w:val="24"/>
      </w:rPr>
    </w:lvl>
    <w:lvl w:ilvl="7">
      <w:numFmt w:val="bullet"/>
      <w:lvlText w:val="o"/>
      <w:lvlJc w:val="left"/>
      <w:pPr>
        <w:tabs>
          <w:tab w:val="num" w:pos="5925"/>
        </w:tabs>
        <w:ind w:left="5925" w:hanging="360"/>
      </w:pPr>
      <w:rPr>
        <w:rFonts w:ascii="Courier New" w:hAnsi="Courier New" w:cs="Courier New"/>
        <w:sz w:val="24"/>
        <w:szCs w:val="24"/>
      </w:rPr>
    </w:lvl>
    <w:lvl w:ilvl="8">
      <w:numFmt w:val="bullet"/>
      <w:lvlText w:val="§"/>
      <w:lvlJc w:val="left"/>
      <w:pPr>
        <w:tabs>
          <w:tab w:val="num" w:pos="6645"/>
        </w:tabs>
        <w:ind w:left="6645" w:hanging="360"/>
      </w:pPr>
      <w:rPr>
        <w:rFonts w:ascii="Wingdings" w:hAnsi="Wingdings" w:cs="Wingdings"/>
        <w:sz w:val="24"/>
        <w:szCs w:val="24"/>
      </w:rPr>
    </w:lvl>
  </w:abstractNum>
  <w:abstractNum w:abstractNumId="19" w15:restartNumberingAfterBreak="0">
    <w:nsid w:val="5589298B"/>
    <w:multiLevelType w:val="multilevel"/>
    <w:tmpl w:val="745C92D8"/>
    <w:lvl w:ilvl="0">
      <w:start w:val="1"/>
      <w:numFmt w:val="decimal"/>
      <w:pStyle w:val="HeadingITT"/>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1702"/>
        </w:tabs>
        <w:ind w:left="2553" w:hanging="426"/>
      </w:pPr>
      <w:rPr>
        <w:rFonts w:cs="Times New Roman" w:hint="default"/>
      </w:rPr>
    </w:lvl>
    <w:lvl w:ilvl="3">
      <w:start w:val="1"/>
      <w:numFmt w:val="upperLetter"/>
      <w:lvlText w:val="%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569D017B"/>
    <w:multiLevelType w:val="hybridMultilevel"/>
    <w:tmpl w:val="ED6023FC"/>
    <w:lvl w:ilvl="0" w:tplc="E522D8F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8EF44B"/>
    <w:multiLevelType w:val="multilevel"/>
    <w:tmpl w:val="0497AC75"/>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center"/>
      <w:pPr>
        <w:tabs>
          <w:tab w:val="num" w:pos="1080"/>
        </w:tabs>
        <w:ind w:left="915" w:firstLine="165"/>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lowerLetter"/>
      <w:lvlText w:val="(%4)"/>
      <w:lvlJc w:val="left"/>
      <w:pPr>
        <w:tabs>
          <w:tab w:val="num" w:pos="2880"/>
        </w:tabs>
        <w:ind w:left="2880" w:hanging="360"/>
      </w:pPr>
      <w:rPr>
        <w:rFonts w:ascii="Times New Roman" w:hAnsi="Times New Roman" w:cs="Times New Roman"/>
        <w:sz w:val="20"/>
        <w:szCs w:val="20"/>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2" w15:restartNumberingAfterBreak="0">
    <w:nsid w:val="5C4635DE"/>
    <w:multiLevelType w:val="hybridMultilevel"/>
    <w:tmpl w:val="C0C84D40"/>
    <w:lvl w:ilvl="0" w:tplc="9C96918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FF68AB"/>
    <w:multiLevelType w:val="hybridMultilevel"/>
    <w:tmpl w:val="6526F728"/>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A0741A"/>
    <w:multiLevelType w:val="hybridMultilevel"/>
    <w:tmpl w:val="9E665B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A811CB3"/>
    <w:multiLevelType w:val="hybridMultilevel"/>
    <w:tmpl w:val="73E802C0"/>
    <w:lvl w:ilvl="0" w:tplc="CB2CCAA4">
      <w:start w:val="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E015D94"/>
    <w:multiLevelType w:val="hybridMultilevel"/>
    <w:tmpl w:val="74124B0E"/>
    <w:lvl w:ilvl="0" w:tplc="651A2CA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93A33"/>
    <w:multiLevelType w:val="hybridMultilevel"/>
    <w:tmpl w:val="F2EAC3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8007AC1"/>
    <w:multiLevelType w:val="hybridMultilevel"/>
    <w:tmpl w:val="ADECC91A"/>
    <w:lvl w:ilvl="0" w:tplc="04180001">
      <w:start w:val="1"/>
      <w:numFmt w:val="bullet"/>
      <w:lvlText w:val=""/>
      <w:lvlJc w:val="left"/>
      <w:pPr>
        <w:ind w:left="668" w:hanging="360"/>
      </w:pPr>
      <w:rPr>
        <w:rFonts w:ascii="Symbol" w:hAnsi="Symbol" w:hint="default"/>
      </w:rPr>
    </w:lvl>
    <w:lvl w:ilvl="1" w:tplc="04180003" w:tentative="1">
      <w:start w:val="1"/>
      <w:numFmt w:val="bullet"/>
      <w:lvlText w:val="o"/>
      <w:lvlJc w:val="left"/>
      <w:pPr>
        <w:ind w:left="1388" w:hanging="360"/>
      </w:pPr>
      <w:rPr>
        <w:rFonts w:ascii="Courier New" w:hAnsi="Courier New" w:cs="Courier New" w:hint="default"/>
      </w:rPr>
    </w:lvl>
    <w:lvl w:ilvl="2" w:tplc="04180005" w:tentative="1">
      <w:start w:val="1"/>
      <w:numFmt w:val="bullet"/>
      <w:lvlText w:val=""/>
      <w:lvlJc w:val="left"/>
      <w:pPr>
        <w:ind w:left="2108" w:hanging="360"/>
      </w:pPr>
      <w:rPr>
        <w:rFonts w:ascii="Wingdings" w:hAnsi="Wingdings" w:hint="default"/>
      </w:rPr>
    </w:lvl>
    <w:lvl w:ilvl="3" w:tplc="04180001" w:tentative="1">
      <w:start w:val="1"/>
      <w:numFmt w:val="bullet"/>
      <w:lvlText w:val=""/>
      <w:lvlJc w:val="left"/>
      <w:pPr>
        <w:ind w:left="2828" w:hanging="360"/>
      </w:pPr>
      <w:rPr>
        <w:rFonts w:ascii="Symbol" w:hAnsi="Symbol" w:hint="default"/>
      </w:rPr>
    </w:lvl>
    <w:lvl w:ilvl="4" w:tplc="04180003" w:tentative="1">
      <w:start w:val="1"/>
      <w:numFmt w:val="bullet"/>
      <w:lvlText w:val="o"/>
      <w:lvlJc w:val="left"/>
      <w:pPr>
        <w:ind w:left="3548" w:hanging="360"/>
      </w:pPr>
      <w:rPr>
        <w:rFonts w:ascii="Courier New" w:hAnsi="Courier New" w:cs="Courier New" w:hint="default"/>
      </w:rPr>
    </w:lvl>
    <w:lvl w:ilvl="5" w:tplc="04180005" w:tentative="1">
      <w:start w:val="1"/>
      <w:numFmt w:val="bullet"/>
      <w:lvlText w:val=""/>
      <w:lvlJc w:val="left"/>
      <w:pPr>
        <w:ind w:left="4268" w:hanging="360"/>
      </w:pPr>
      <w:rPr>
        <w:rFonts w:ascii="Wingdings" w:hAnsi="Wingdings" w:hint="default"/>
      </w:rPr>
    </w:lvl>
    <w:lvl w:ilvl="6" w:tplc="04180001" w:tentative="1">
      <w:start w:val="1"/>
      <w:numFmt w:val="bullet"/>
      <w:lvlText w:val=""/>
      <w:lvlJc w:val="left"/>
      <w:pPr>
        <w:ind w:left="4988" w:hanging="360"/>
      </w:pPr>
      <w:rPr>
        <w:rFonts w:ascii="Symbol" w:hAnsi="Symbol" w:hint="default"/>
      </w:rPr>
    </w:lvl>
    <w:lvl w:ilvl="7" w:tplc="04180003" w:tentative="1">
      <w:start w:val="1"/>
      <w:numFmt w:val="bullet"/>
      <w:lvlText w:val="o"/>
      <w:lvlJc w:val="left"/>
      <w:pPr>
        <w:ind w:left="5708" w:hanging="360"/>
      </w:pPr>
      <w:rPr>
        <w:rFonts w:ascii="Courier New" w:hAnsi="Courier New" w:cs="Courier New" w:hint="default"/>
      </w:rPr>
    </w:lvl>
    <w:lvl w:ilvl="8" w:tplc="04180005" w:tentative="1">
      <w:start w:val="1"/>
      <w:numFmt w:val="bullet"/>
      <w:lvlText w:val=""/>
      <w:lvlJc w:val="left"/>
      <w:pPr>
        <w:ind w:left="6428" w:hanging="360"/>
      </w:pPr>
      <w:rPr>
        <w:rFonts w:ascii="Wingdings" w:hAnsi="Wingdings" w:hint="default"/>
      </w:rPr>
    </w:lvl>
  </w:abstractNum>
  <w:abstractNum w:abstractNumId="29" w15:restartNumberingAfterBreak="0">
    <w:nsid w:val="7D4C126E"/>
    <w:multiLevelType w:val="hybridMultilevel"/>
    <w:tmpl w:val="F8D0D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0"/>
  </w:num>
  <w:num w:numId="4">
    <w:abstractNumId w:val="18"/>
  </w:num>
  <w:num w:numId="5">
    <w:abstractNumId w:val="12"/>
  </w:num>
  <w:num w:numId="6">
    <w:abstractNumId w:val="5"/>
  </w:num>
  <w:num w:numId="7">
    <w:abstractNumId w:val="21"/>
  </w:num>
  <w:num w:numId="8">
    <w:abstractNumId w:val="6"/>
  </w:num>
  <w:num w:numId="9">
    <w:abstractNumId w:val="1"/>
  </w:num>
  <w:num w:numId="10">
    <w:abstractNumId w:val="4"/>
  </w:num>
  <w:num w:numId="11">
    <w:abstractNumId w:val="26"/>
  </w:num>
  <w:num w:numId="12">
    <w:abstractNumId w:val="16"/>
  </w:num>
  <w:num w:numId="13">
    <w:abstractNumId w:val="28"/>
  </w:num>
  <w:num w:numId="14">
    <w:abstractNumId w:val="24"/>
  </w:num>
  <w:num w:numId="15">
    <w:abstractNumId w:val="27"/>
  </w:num>
  <w:num w:numId="16">
    <w:abstractNumId w:val="17"/>
  </w:num>
  <w:num w:numId="17">
    <w:abstractNumId w:val="23"/>
  </w:num>
  <w:num w:numId="18">
    <w:abstractNumId w:val="25"/>
  </w:num>
  <w:num w:numId="19">
    <w:abstractNumId w:val="9"/>
  </w:num>
  <w:num w:numId="20">
    <w:abstractNumId w:val="11"/>
  </w:num>
  <w:num w:numId="21">
    <w:abstractNumId w:val="20"/>
  </w:num>
  <w:num w:numId="22">
    <w:abstractNumId w:val="7"/>
  </w:num>
  <w:num w:numId="23">
    <w:abstractNumId w:val="3"/>
  </w:num>
  <w:num w:numId="24">
    <w:abstractNumId w:val="14"/>
  </w:num>
  <w:num w:numId="25">
    <w:abstractNumId w:val="13"/>
  </w:num>
  <w:num w:numId="26">
    <w:abstractNumId w:val="15"/>
  </w:num>
  <w:num w:numId="27">
    <w:abstractNumId w:val="8"/>
  </w:num>
  <w:num w:numId="28">
    <w:abstractNumId w:val="29"/>
  </w:num>
  <w:num w:numId="29">
    <w:abstractNumId w:val="1"/>
  </w:num>
  <w:num w:numId="30">
    <w:abstractNumId w:val="2"/>
  </w:num>
  <w:num w:numId="31">
    <w:abstractNumId w:val="26"/>
  </w:num>
  <w:num w:numId="32">
    <w:abstractNumId w:val="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o-R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FFA310-1725-4549-BD12-350AABD6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0" w:line="240" w:lineRule="auto"/>
    </w:pPr>
    <w:rPr>
      <w:rFonts w:ascii="Times New Roman" w:eastAsia="Times New Roman" w:hAnsi="Times New Roman" w:cs="Times New Roman"/>
      <w:noProof/>
      <w:sz w:val="24"/>
      <w:szCs w:val="24"/>
      <w:lang w:eastAsia="ar-SA"/>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pPr>
      <w:keepNext/>
      <w:spacing w:before="240" w:after="60"/>
      <w:outlineLvl w:val="3"/>
    </w:pPr>
    <w:rPr>
      <w:rFonts w:ascii="Calibri" w:hAnsi="Calibri"/>
      <w:b/>
      <w:bCs/>
      <w:sz w:val="28"/>
      <w:szCs w:val="28"/>
    </w:rPr>
  </w:style>
  <w:style w:type="paragraph" w:styleId="Heading5">
    <w:name w:val="heading 5"/>
    <w:basedOn w:val="Normal"/>
    <w:next w:val="BodyText"/>
    <w:link w:val="Heading5Char"/>
    <w:qFormat/>
    <w:pPr>
      <w:keepNext/>
      <w:suppressAutoHyphens w:val="0"/>
      <w:spacing w:before="120" w:after="120"/>
      <w:ind w:left="1008" w:hanging="1008"/>
      <w:jc w:val="both"/>
      <w:outlineLvl w:val="4"/>
    </w:pPr>
    <w:rPr>
      <w:rFonts w:ascii="Arial" w:hAnsi="Arial"/>
      <w:b/>
      <w:bCs/>
      <w:noProof w:val="0"/>
      <w:sz w:val="22"/>
      <w:szCs w:val="22"/>
      <w:lang w:val="en-GB" w:eastAsia="en-US"/>
    </w:rPr>
  </w:style>
  <w:style w:type="paragraph" w:styleId="Heading6">
    <w:name w:val="heading 6"/>
    <w:basedOn w:val="Normal"/>
    <w:next w:val="BodyText"/>
    <w:link w:val="Heading6Char"/>
    <w:qFormat/>
    <w:pPr>
      <w:keepNext/>
      <w:suppressAutoHyphens w:val="0"/>
      <w:spacing w:before="360" w:after="120"/>
      <w:ind w:left="1152" w:hanging="1152"/>
      <w:jc w:val="both"/>
      <w:outlineLvl w:val="5"/>
    </w:pPr>
    <w:rPr>
      <w:rFonts w:ascii="Arial" w:hAnsi="Arial"/>
      <w:b/>
      <w:bCs/>
      <w:noProof w:val="0"/>
      <w:sz w:val="26"/>
      <w:szCs w:val="26"/>
      <w:lang w:val="en-GB" w:eastAsia="en-US"/>
    </w:rPr>
  </w:style>
  <w:style w:type="paragraph" w:styleId="Heading7">
    <w:name w:val="heading 7"/>
    <w:basedOn w:val="Normal"/>
    <w:next w:val="BodyText"/>
    <w:link w:val="Heading7Char"/>
    <w:qFormat/>
    <w:pPr>
      <w:keepNext/>
      <w:suppressAutoHyphens w:val="0"/>
      <w:spacing w:before="360" w:after="120"/>
      <w:ind w:left="1296" w:hanging="1296"/>
      <w:jc w:val="both"/>
      <w:outlineLvl w:val="6"/>
    </w:pPr>
    <w:rPr>
      <w:rFonts w:ascii="Arial" w:hAnsi="Arial"/>
      <w:b/>
      <w:bCs/>
      <w:noProof w:val="0"/>
      <w:sz w:val="22"/>
      <w:szCs w:val="22"/>
      <w:lang w:val="en-GB" w:eastAsia="en-US"/>
    </w:rPr>
  </w:style>
  <w:style w:type="paragraph" w:styleId="Heading8">
    <w:name w:val="heading 8"/>
    <w:basedOn w:val="Normal"/>
    <w:next w:val="BodyText"/>
    <w:link w:val="Heading8Char"/>
    <w:qFormat/>
    <w:pPr>
      <w:keepNext/>
      <w:suppressAutoHyphens w:val="0"/>
      <w:spacing w:before="360" w:after="120"/>
      <w:ind w:left="1440" w:hanging="1440"/>
      <w:jc w:val="both"/>
      <w:outlineLvl w:val="7"/>
    </w:pPr>
    <w:rPr>
      <w:rFonts w:ascii="Arial" w:hAnsi="Arial"/>
      <w:b/>
      <w:bCs/>
      <w:noProof w:val="0"/>
      <w:sz w:val="22"/>
      <w:szCs w:val="22"/>
      <w:lang w:val="en-GB" w:eastAsia="en-US"/>
    </w:rPr>
  </w:style>
  <w:style w:type="paragraph" w:styleId="Heading9">
    <w:name w:val="heading 9"/>
    <w:aliases w:val="App Heading"/>
    <w:basedOn w:val="Normal"/>
    <w:next w:val="Normal"/>
    <w:link w:val="Heading9Char"/>
    <w:qFormat/>
    <w:pPr>
      <w:keepNext/>
      <w:suppressAutoHyphens w:val="0"/>
      <w:spacing w:before="360" w:after="120"/>
      <w:ind w:left="1584" w:hanging="1584"/>
      <w:jc w:val="both"/>
      <w:outlineLvl w:val="8"/>
    </w:pPr>
    <w:rPr>
      <w:rFonts w:ascii="Arial" w:hAnsi="Arial"/>
      <w:b/>
      <w:bCs/>
      <w:noProof w:val="0"/>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pPr>
      <w:suppressAutoHyphens/>
      <w:spacing w:after="0" w:line="240" w:lineRule="auto"/>
    </w:pPr>
    <w:rPr>
      <w:rFonts w:ascii="Times New Roman" w:eastAsia="Times New Roman" w:hAnsi="Times New Roman" w:cs="Times New Roman"/>
      <w:noProof/>
      <w:sz w:val="24"/>
      <w:szCs w:val="20"/>
      <w:lang w:eastAsia="ar-SA"/>
    </w:rPr>
  </w:style>
  <w:style w:type="character" w:customStyle="1" w:styleId="NoSpacingChar">
    <w:name w:val="No Spacing Char"/>
    <w:link w:val="NoSpacing"/>
    <w:locked/>
    <w:rPr>
      <w:rFonts w:ascii="Times New Roman" w:eastAsia="Times New Roman" w:hAnsi="Times New Roman" w:cs="Times New Roman"/>
      <w:noProof/>
      <w:sz w:val="24"/>
      <w:szCs w:val="20"/>
      <w:lang w:eastAsia="ar-SA"/>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noProof/>
      <w:sz w:val="20"/>
      <w:szCs w:val="20"/>
      <w:lang w:eastAsia="ar-SA"/>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noProof/>
      <w:sz w:val="20"/>
      <w:szCs w:val="20"/>
      <w:lang w:eastAsia="ar-SA"/>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noProof/>
      <w:sz w:val="18"/>
      <w:szCs w:val="18"/>
      <w:lang w:eastAsia="ar-SA"/>
    </w:rPr>
  </w:style>
  <w:style w:type="character" w:customStyle="1" w:styleId="Heading1Char">
    <w:name w:val="Heading 1 Char"/>
    <w:basedOn w:val="DefaultParagraphFont"/>
    <w:link w:val="Heading1"/>
    <w:rPr>
      <w:rFonts w:ascii="Cambria" w:eastAsia="Times New Roman" w:hAnsi="Cambria" w:cs="Times New Roman"/>
      <w:b/>
      <w:bCs/>
      <w:noProof/>
      <w:kern w:val="32"/>
      <w:sz w:val="32"/>
      <w:szCs w:val="32"/>
      <w:lang w:eastAsia="ar-SA"/>
    </w:rPr>
  </w:style>
  <w:style w:type="character" w:customStyle="1" w:styleId="Heading2Char">
    <w:name w:val="Heading 2 Char"/>
    <w:basedOn w:val="DefaultParagraphFont"/>
    <w:link w:val="Heading2"/>
    <w:rPr>
      <w:rFonts w:ascii="Cambria" w:eastAsia="Times New Roman" w:hAnsi="Cambria" w:cs="Times New Roman"/>
      <w:b/>
      <w:bCs/>
      <w:i/>
      <w:iCs/>
      <w:noProof/>
      <w:sz w:val="28"/>
      <w:szCs w:val="28"/>
      <w:lang w:eastAsia="ar-SA"/>
    </w:rPr>
  </w:style>
  <w:style w:type="character" w:customStyle="1" w:styleId="Heading3Char">
    <w:name w:val="Heading 3 Char"/>
    <w:basedOn w:val="DefaultParagraphFont"/>
    <w:link w:val="Heading3"/>
    <w:rPr>
      <w:rFonts w:ascii="Cambria" w:eastAsia="Times New Roman" w:hAnsi="Cambria" w:cs="Times New Roman"/>
      <w:b/>
      <w:bCs/>
      <w:noProof/>
      <w:sz w:val="26"/>
      <w:szCs w:val="26"/>
      <w:lang w:eastAsia="ar-SA"/>
    </w:rPr>
  </w:style>
  <w:style w:type="character" w:customStyle="1" w:styleId="Heading4Char">
    <w:name w:val="Heading 4 Char"/>
    <w:basedOn w:val="DefaultParagraphFont"/>
    <w:link w:val="Heading4"/>
    <w:rPr>
      <w:rFonts w:ascii="Calibri" w:eastAsia="Times New Roman" w:hAnsi="Calibri" w:cs="Times New Roman"/>
      <w:b/>
      <w:bCs/>
      <w:noProof/>
      <w:sz w:val="28"/>
      <w:szCs w:val="28"/>
      <w:lang w:eastAsia="ar-SA"/>
    </w:rPr>
  </w:style>
  <w:style w:type="character" w:customStyle="1" w:styleId="Heading5Char">
    <w:name w:val="Heading 5 Char"/>
    <w:basedOn w:val="DefaultParagraphFont"/>
    <w:link w:val="Heading5"/>
    <w:rPr>
      <w:rFonts w:ascii="Arial" w:eastAsia="Times New Roman" w:hAnsi="Arial" w:cs="Times New Roman"/>
      <w:b/>
      <w:bCs/>
      <w:lang w:val="en-GB"/>
    </w:rPr>
  </w:style>
  <w:style w:type="character" w:customStyle="1" w:styleId="Heading6Char">
    <w:name w:val="Heading 6 Char"/>
    <w:basedOn w:val="DefaultParagraphFont"/>
    <w:link w:val="Heading6"/>
    <w:rPr>
      <w:rFonts w:ascii="Arial" w:eastAsia="Times New Roman" w:hAnsi="Arial" w:cs="Times New Roman"/>
      <w:b/>
      <w:bCs/>
      <w:sz w:val="26"/>
      <w:szCs w:val="26"/>
      <w:lang w:val="en-GB"/>
    </w:rPr>
  </w:style>
  <w:style w:type="character" w:customStyle="1" w:styleId="Heading7Char">
    <w:name w:val="Heading 7 Char"/>
    <w:basedOn w:val="DefaultParagraphFont"/>
    <w:link w:val="Heading7"/>
    <w:rPr>
      <w:rFonts w:ascii="Arial" w:eastAsia="Times New Roman" w:hAnsi="Arial" w:cs="Times New Roman"/>
      <w:b/>
      <w:bCs/>
      <w:lang w:val="en-GB"/>
    </w:rPr>
  </w:style>
  <w:style w:type="character" w:customStyle="1" w:styleId="Heading8Char">
    <w:name w:val="Heading 8 Char"/>
    <w:basedOn w:val="DefaultParagraphFont"/>
    <w:link w:val="Heading8"/>
    <w:rPr>
      <w:rFonts w:ascii="Arial" w:eastAsia="Times New Roman" w:hAnsi="Arial" w:cs="Times New Roman"/>
      <w:b/>
      <w:bCs/>
      <w:lang w:val="en-GB"/>
    </w:rPr>
  </w:style>
  <w:style w:type="character" w:customStyle="1" w:styleId="Heading9Char">
    <w:name w:val="Heading 9 Char"/>
    <w:aliases w:val="App Heading Char"/>
    <w:basedOn w:val="DefaultParagraphFont"/>
    <w:link w:val="Heading9"/>
    <w:rPr>
      <w:rFonts w:ascii="Arial" w:eastAsia="Times New Roman" w:hAnsi="Arial" w:cs="Times New Roman"/>
      <w:b/>
      <w:bCs/>
      <w:lang w:val="en-GB"/>
    </w:rPr>
  </w:style>
  <w:style w:type="numbering" w:customStyle="1" w:styleId="NoList1">
    <w:name w:val="No List1"/>
    <w:next w:val="NoList"/>
    <w:semiHidden/>
  </w:style>
  <w:style w:type="character" w:styleId="Hyperlink">
    <w:name w:val="Hyperlink"/>
    <w:rPr>
      <w:color w:val="0000FF"/>
      <w:u w:val="single"/>
    </w:rPr>
  </w:style>
  <w:style w:type="paragraph" w:styleId="BodyText">
    <w:name w:val="Body Text"/>
    <w:basedOn w:val="Normal"/>
    <w:link w:val="BodyTextChar"/>
    <w:pPr>
      <w:jc w:val="both"/>
    </w:pPr>
  </w:style>
  <w:style w:type="character" w:customStyle="1" w:styleId="BodyTextChar">
    <w:name w:val="Body Text Char"/>
    <w:basedOn w:val="DefaultParagraphFont"/>
    <w:link w:val="BodyText"/>
    <w:rPr>
      <w:rFonts w:ascii="Times New Roman" w:eastAsia="Times New Roman" w:hAnsi="Times New Roman" w:cs="Times New Roman"/>
      <w:noProof/>
      <w:sz w:val="24"/>
      <w:szCs w:val="24"/>
      <w:lang w:eastAsia="ar-SA"/>
    </w:rPr>
  </w:style>
  <w:style w:type="paragraph" w:customStyle="1" w:styleId="bullet-3">
    <w:name w:val="bullet-3"/>
    <w:basedOn w:val="Normal"/>
    <w:pPr>
      <w:widowControl w:val="0"/>
      <w:suppressAutoHyphens w:val="0"/>
      <w:spacing w:before="240" w:line="240" w:lineRule="exact"/>
      <w:ind w:left="2212" w:hanging="284"/>
      <w:jc w:val="both"/>
    </w:pPr>
    <w:rPr>
      <w:rFonts w:ascii="Arial" w:hAnsi="Arial" w:cs="Arial"/>
      <w:noProof w:val="0"/>
      <w:lang w:val="cs-CZ" w:eastAsia="en-US"/>
    </w:rPr>
  </w:style>
  <w:style w:type="paragraph" w:customStyle="1" w:styleId="a1">
    <w:name w:val="a1"/>
    <w:basedOn w:val="Normal"/>
    <w:pPr>
      <w:spacing w:before="240" w:after="240"/>
      <w:jc w:val="center"/>
    </w:pPr>
    <w:rPr>
      <w:rFonts w:ascii="Franklin Gothic Demi" w:hAnsi="Franklin Gothic Demi" w:cs="Franklin Gothic Demi"/>
    </w:rPr>
  </w:style>
  <w:style w:type="paragraph" w:customStyle="1" w:styleId="HeadingITT">
    <w:name w:val="Heading ITT"/>
    <w:basedOn w:val="Normal"/>
    <w:next w:val="Heading1"/>
    <w:autoRedefine/>
    <w:pPr>
      <w:keepNext/>
      <w:numPr>
        <w:numId w:val="1"/>
      </w:numPr>
      <w:suppressAutoHyphens w:val="0"/>
      <w:spacing w:before="120" w:after="120"/>
      <w:jc w:val="both"/>
    </w:pPr>
    <w:rPr>
      <w:rFonts w:ascii="Arial" w:hAnsi="Arial" w:cs="Arial"/>
      <w:b/>
      <w:bCs/>
      <w:noProof w:val="0"/>
      <w:sz w:val="22"/>
      <w:szCs w:val="22"/>
      <w:lang w:val="en-GB" w:eastAsia="en-GB"/>
    </w:rPr>
  </w:style>
  <w:style w:type="paragraph" w:customStyle="1" w:styleId="Style14ptJustified">
    <w:name w:val="Style 14 pt Justified"/>
    <w:basedOn w:val="Normal"/>
    <w:pPr>
      <w:jc w:val="both"/>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noProof/>
      <w:sz w:val="24"/>
      <w:szCs w:val="24"/>
      <w:lang w:eastAsia="ar-SA"/>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imes New Roman" w:eastAsia="Times New Roman" w:hAnsi="Times New Roman" w:cs="Times New Roman"/>
      <w:noProof/>
      <w:sz w:val="24"/>
      <w:szCs w:val="24"/>
      <w:lang w:eastAsia="ar-SA"/>
    </w:rPr>
  </w:style>
  <w:style w:type="character" w:styleId="PageNumber">
    <w:name w:val="page number"/>
    <w:aliases w:val="Numéro de page"/>
    <w:rPr>
      <w:sz w:val="16"/>
    </w:rPr>
  </w:style>
  <w:style w:type="character" w:styleId="FootnoteReference">
    <w:name w:val="footnote reference"/>
    <w:semiHidden/>
    <w:rPr>
      <w:vertAlign w:val="superscript"/>
    </w:rPr>
  </w:style>
  <w:style w:type="paragraph" w:styleId="FootnoteText">
    <w:name w:val="footnote text"/>
    <w:basedOn w:val="Normal"/>
    <w:link w:val="FootnoteTextChar"/>
    <w:semiHidden/>
    <w:pPr>
      <w:suppressAutoHyphens w:val="0"/>
    </w:pPr>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noProof/>
      <w:sz w:val="20"/>
      <w:szCs w:val="20"/>
      <w:lang w:eastAsia="ar-SA"/>
    </w:rPr>
  </w:style>
  <w:style w:type="paragraph" w:styleId="TOC2">
    <w:name w:val="toc 2"/>
    <w:basedOn w:val="Normal"/>
    <w:next w:val="Normal"/>
    <w:autoRedefine/>
    <w:semiHidden/>
    <w:pPr>
      <w:tabs>
        <w:tab w:val="left" w:pos="960"/>
        <w:tab w:val="right" w:leader="dot" w:pos="8778"/>
      </w:tabs>
      <w:suppressAutoHyphens w:val="0"/>
      <w:ind w:left="958" w:hanging="720"/>
    </w:pPr>
    <w:rPr>
      <w:smallCaps/>
      <w:noProof w:val="0"/>
      <w:sz w:val="20"/>
      <w:szCs w:val="20"/>
      <w:lang w:val="en-GB" w:eastAsia="en-US"/>
    </w:rPr>
  </w:style>
  <w:style w:type="paragraph" w:customStyle="1" w:styleId="tabulka">
    <w:name w:val="tabulka"/>
    <w:basedOn w:val="Normal"/>
    <w:pPr>
      <w:widowControl w:val="0"/>
      <w:suppressAutoHyphens w:val="0"/>
      <w:spacing w:before="120" w:line="240" w:lineRule="exact"/>
      <w:jc w:val="center"/>
    </w:pPr>
    <w:rPr>
      <w:rFonts w:ascii="Arial" w:hAnsi="Arial" w:cs="Arial"/>
      <w:noProof w:val="0"/>
      <w:sz w:val="20"/>
      <w:szCs w:val="20"/>
      <w:lang w:val="cs-CZ" w:eastAsia="en-US"/>
    </w:rPr>
  </w:style>
  <w:style w:type="table" w:styleId="TableGrid">
    <w:name w:val="Table Grid"/>
    <w:basedOn w:val="TableNormal"/>
    <w:pPr>
      <w:suppressAutoHyphen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ceanddatebottom">
    <w:name w:val="Place and date bottom"/>
    <w:basedOn w:val="Normal"/>
    <w:pPr>
      <w:tabs>
        <w:tab w:val="right" w:leader="dot" w:pos="8222"/>
      </w:tabs>
      <w:suppressAutoHyphens w:val="0"/>
      <w:overflowPunct w:val="0"/>
      <w:autoSpaceDE w:val="0"/>
      <w:autoSpaceDN w:val="0"/>
      <w:adjustRightInd w:val="0"/>
      <w:textAlignment w:val="baseline"/>
    </w:pPr>
    <w:rPr>
      <w:rFonts w:ascii="Arial" w:hAnsi="Arial" w:cs="Arial"/>
      <w:noProof w:val="0"/>
      <w:sz w:val="28"/>
      <w:szCs w:val="28"/>
      <w:lang w:val="fr-FR" w:eastAsia="fi-FI"/>
    </w:rPr>
  </w:style>
  <w:style w:type="paragraph" w:customStyle="1" w:styleId="11ptheading">
    <w:name w:val="11 pt heading"/>
    <w:basedOn w:val="Normal"/>
    <w:next w:val="BodyText"/>
    <w:pPr>
      <w:keepNext/>
      <w:keepLines/>
      <w:suppressAutoHyphens w:val="0"/>
      <w:spacing w:before="360" w:after="120"/>
    </w:pPr>
    <w:rPr>
      <w:rFonts w:ascii="Arial" w:hAnsi="Arial" w:cs="Arial"/>
      <w:b/>
      <w:bCs/>
      <w:noProof w:val="0"/>
      <w:sz w:val="22"/>
      <w:szCs w:val="22"/>
      <w:lang w:val="en-GB" w:eastAsia="en-US"/>
    </w:rPr>
  </w:style>
  <w:style w:type="paragraph" w:styleId="Subtitle">
    <w:name w:val="Subtitle"/>
    <w:basedOn w:val="Normal"/>
    <w:link w:val="SubtitleChar"/>
    <w:qFormat/>
    <w:pPr>
      <w:suppressAutoHyphens w:val="0"/>
      <w:jc w:val="center"/>
    </w:pPr>
    <w:rPr>
      <w:rFonts w:ascii="Cambria" w:hAnsi="Cambria"/>
    </w:rPr>
  </w:style>
  <w:style w:type="character" w:customStyle="1" w:styleId="SubtitleChar">
    <w:name w:val="Subtitle Char"/>
    <w:basedOn w:val="DefaultParagraphFont"/>
    <w:link w:val="Subtitle"/>
    <w:rPr>
      <w:rFonts w:ascii="Cambria" w:eastAsia="Times New Roman" w:hAnsi="Cambria" w:cs="Times New Roman"/>
      <w:noProof/>
      <w:sz w:val="24"/>
      <w:szCs w:val="24"/>
      <w:lang w:eastAsia="ar-SA"/>
    </w:rPr>
  </w:style>
  <w:style w:type="paragraph" w:customStyle="1" w:styleId="Style">
    <w:name w:val="Styl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Char">
    <w:name w:val="Char"/>
    <w:basedOn w:val="Normal"/>
    <w:pPr>
      <w:tabs>
        <w:tab w:val="left" w:pos="709"/>
      </w:tabs>
      <w:suppressAutoHyphens w:val="0"/>
    </w:pPr>
    <w:rPr>
      <w:rFonts w:ascii="Tahoma" w:hAnsi="Tahoma" w:cs="Tahoma"/>
      <w:noProof w:val="0"/>
      <w:lang w:val="pl-PL" w:eastAsia="pl-PL"/>
    </w:rPr>
  </w:style>
  <w:style w:type="paragraph" w:customStyle="1" w:styleId="BulletIndent">
    <w:name w:val="Bullet Indent"/>
    <w:basedOn w:val="Normal"/>
    <w:pPr>
      <w:numPr>
        <w:numId w:val="2"/>
      </w:numPr>
    </w:pPr>
  </w:style>
  <w:style w:type="paragraph" w:customStyle="1" w:styleId="CharChar2CharChar1CaracterCaracterCharCharCaracterCaracterCharCharCaracterCaracter">
    <w:name w:val="Char Char2 Char Char1 Caracter Caracter Char Char Caracter Caracter Char Char Caracter Caracter"/>
    <w:basedOn w:val="Normal"/>
    <w:pPr>
      <w:tabs>
        <w:tab w:val="left" w:pos="709"/>
      </w:tabs>
      <w:suppressAutoHyphens w:val="0"/>
    </w:pPr>
    <w:rPr>
      <w:rFonts w:ascii="Tahoma" w:hAnsi="Tahoma" w:cs="Tahoma"/>
      <w:noProof w:val="0"/>
      <w:lang w:val="pl-PL" w:eastAsia="pl-PL"/>
    </w:rPr>
  </w:style>
  <w:style w:type="paragraph" w:styleId="DocumentMap">
    <w:name w:val="Document Map"/>
    <w:basedOn w:val="Normal"/>
    <w:link w:val="DocumentMapChar"/>
    <w:semiHidden/>
    <w:pPr>
      <w:shd w:val="clear" w:color="auto" w:fill="000080"/>
    </w:pPr>
    <w:rPr>
      <w:sz w:val="2"/>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noProof/>
      <w:sz w:val="2"/>
      <w:szCs w:val="20"/>
      <w:shd w:val="clear" w:color="auto" w:fill="000080"/>
      <w:lang w:eastAsia="ar-SA"/>
    </w:rPr>
  </w:style>
  <w:style w:type="paragraph" w:customStyle="1" w:styleId="CharCharCaracterCaracterCharCharCaracterCaracter">
    <w:name w:val="Char Char Caracter Caracter Char Char Caracter Caracter"/>
    <w:basedOn w:val="Normal"/>
    <w:pPr>
      <w:suppressAutoHyphens w:val="0"/>
    </w:pPr>
    <w:rPr>
      <w:rFonts w:ascii="Arial Bold" w:hAnsi="Arial Bold" w:cs="Arial Bold"/>
      <w:noProof w:val="0"/>
      <w:lang w:val="pl-PL" w:eastAsia="pl-PL"/>
    </w:rPr>
  </w:style>
  <w:style w:type="paragraph" w:customStyle="1" w:styleId="Indent">
    <w:name w:val="Indent"/>
    <w:basedOn w:val="Normal"/>
    <w:pPr>
      <w:suppressAutoHyphens w:val="0"/>
      <w:spacing w:before="120"/>
      <w:ind w:left="851" w:hanging="851"/>
    </w:pPr>
    <w:rPr>
      <w:noProof w:val="0"/>
      <w:lang w:val="en-US" w:eastAsia="en-US"/>
    </w:rPr>
  </w:style>
  <w:style w:type="paragraph" w:customStyle="1" w:styleId="Title1">
    <w:name w:val="Title 1"/>
    <w:basedOn w:val="Title"/>
    <w:pPr>
      <w:suppressAutoHyphens w:val="0"/>
      <w:spacing w:before="0" w:after="0" w:line="440" w:lineRule="atLeast"/>
      <w:jc w:val="left"/>
      <w:outlineLvl w:val="9"/>
    </w:pPr>
    <w:rPr>
      <w:b w:val="0"/>
      <w:bCs w:val="0"/>
      <w:noProof w:val="0"/>
      <w:kern w:val="0"/>
      <w:lang w:val="en-GB" w:eastAsia="en-US"/>
    </w:rPr>
  </w:style>
  <w:style w:type="paragraph" w:styleId="Title">
    <w:name w:val="Title"/>
    <w:basedOn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Pr>
      <w:rFonts w:ascii="Cambria" w:eastAsia="Times New Roman" w:hAnsi="Cambria" w:cs="Times New Roman"/>
      <w:b/>
      <w:bCs/>
      <w:noProof/>
      <w:kern w:val="28"/>
      <w:sz w:val="32"/>
      <w:szCs w:val="32"/>
      <w:lang w:eastAsia="ar-SA"/>
    </w:rPr>
  </w:style>
  <w:style w:type="paragraph" w:customStyle="1" w:styleId="Listparagraf1">
    <w:name w:val="Listă paragraf1"/>
    <w:basedOn w:val="Normal"/>
    <w:pPr>
      <w:suppressAutoHyphens w:val="0"/>
      <w:overflowPunct w:val="0"/>
      <w:autoSpaceDE w:val="0"/>
      <w:autoSpaceDN w:val="0"/>
      <w:adjustRightInd w:val="0"/>
      <w:ind w:left="720"/>
      <w:textAlignment w:val="baseline"/>
    </w:pPr>
    <w:rPr>
      <w:noProof w:val="0"/>
      <w:lang w:val="en-US" w:eastAsia="ro-RO"/>
    </w:rPr>
  </w:style>
  <w:style w:type="paragraph" w:customStyle="1" w:styleId="CaracterCharCharCharCharCharCaracterCharCharCaracterCharCharCaracterCharCharCaracterCharCharCaracterCaracterCaracterCharCharChar">
    <w:name w:val="Caracter Char Char Char Char Char Caracter Char Char Caracter Char Char Caracter Char Char Caracter Char Char Caracter Caracter Caracter Char Char Char"/>
    <w:basedOn w:val="Normal"/>
    <w:pPr>
      <w:suppressAutoHyphens w:val="0"/>
    </w:pPr>
    <w:rPr>
      <w:noProof w:val="0"/>
      <w:lang w:val="pl-PL" w:eastAsia="pl-PL"/>
    </w:rPr>
  </w:style>
  <w:style w:type="table" w:styleId="TableGrid1">
    <w:name w:val="Table Grid 1"/>
    <w:basedOn w:val="TableNormal"/>
    <w:pPr>
      <w:spacing w:after="0" w:line="240" w:lineRule="auto"/>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BodyTextIndent">
    <w:name w:val="Body Text Indent"/>
    <w:basedOn w:val="Normal"/>
    <w:link w:val="BodyTextIndentChar"/>
    <w:pPr>
      <w:spacing w:after="120" w:line="480" w:lineRule="auto"/>
    </w:pPr>
  </w:style>
  <w:style w:type="character" w:customStyle="1" w:styleId="BodyTextIndentChar">
    <w:name w:val="Body Text Indent Char"/>
    <w:basedOn w:val="DefaultParagraphFont"/>
    <w:link w:val="BodyTextIndent"/>
    <w:rPr>
      <w:rFonts w:ascii="Times New Roman" w:eastAsia="Times New Roman" w:hAnsi="Times New Roman" w:cs="Times New Roman"/>
      <w:noProof/>
      <w:sz w:val="24"/>
      <w:szCs w:val="24"/>
      <w:lang w:eastAsia="ar-SA"/>
    </w:rPr>
  </w:style>
  <w:style w:type="paragraph" w:customStyle="1" w:styleId="N1">
    <w:name w:val="N1"/>
    <w:basedOn w:val="Normal"/>
    <w:link w:val="N1Zchn"/>
    <w:pPr>
      <w:suppressAutoHyphens w:val="0"/>
      <w:overflowPunct w:val="0"/>
      <w:autoSpaceDE w:val="0"/>
      <w:autoSpaceDN w:val="0"/>
      <w:adjustRightInd w:val="0"/>
      <w:spacing w:line="320" w:lineRule="atLeast"/>
      <w:ind w:left="1276" w:hanging="425"/>
      <w:jc w:val="both"/>
      <w:textAlignment w:val="baseline"/>
    </w:pPr>
    <w:rPr>
      <w:rFonts w:ascii="Arial" w:hAnsi="Arial"/>
      <w:noProof w:val="0"/>
      <w:sz w:val="22"/>
      <w:szCs w:val="20"/>
      <w:lang w:val="de-DE" w:eastAsia="de-DE"/>
    </w:rPr>
  </w:style>
  <w:style w:type="character" w:customStyle="1" w:styleId="N1Zchn">
    <w:name w:val="N1 Zchn"/>
    <w:link w:val="N1"/>
    <w:locked/>
    <w:rPr>
      <w:rFonts w:ascii="Arial" w:eastAsia="Times New Roman" w:hAnsi="Arial" w:cs="Times New Roman"/>
      <w:szCs w:val="20"/>
      <w:lang w:val="de-DE" w:eastAsia="de-DE"/>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pPr>
      <w:suppressAutoHyphens w:val="0"/>
    </w:pPr>
    <w:rPr>
      <w:rFonts w:ascii="Arial" w:hAnsi="Arial" w:cs="Arial"/>
      <w:noProof w:val="0"/>
      <w:lang w:val="pl-PL" w:eastAsia="pl-PL"/>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WW8Num1z2">
    <w:name w:val="WW8Num1z2"/>
    <w:rPr>
      <w:rFonts w:ascii="Wingdings" w:hAnsi="Wingdings"/>
      <w:sz w:val="22"/>
    </w:rPr>
  </w:style>
  <w:style w:type="character" w:customStyle="1" w:styleId="CharacterStyle3">
    <w:name w:val="Character Style 3"/>
    <w:rPr>
      <w:sz w:val="22"/>
    </w:rPr>
  </w:style>
  <w:style w:type="paragraph" w:customStyle="1" w:styleId="text">
    <w:name w:val="text"/>
    <w:pPr>
      <w:widowControl w:val="0"/>
      <w:suppressAutoHyphens/>
      <w:spacing w:before="240" w:after="0" w:line="240" w:lineRule="exact"/>
      <w:jc w:val="both"/>
    </w:pPr>
    <w:rPr>
      <w:rFonts w:ascii="Arial" w:eastAsia="Times New Roman" w:hAnsi="Arial" w:cs="Arial"/>
      <w:sz w:val="24"/>
      <w:szCs w:val="24"/>
      <w:lang w:val="cs-CZ" w:eastAsia="ar-SA"/>
    </w:rPr>
  </w:style>
  <w:style w:type="paragraph" w:customStyle="1" w:styleId="Heading">
    <w:name w:val="Heading"/>
    <w:basedOn w:val="Heading1"/>
    <w:link w:val="HeadingCharChar"/>
    <w:pPr>
      <w:suppressAutoHyphens w:val="0"/>
      <w:spacing w:before="600" w:after="360"/>
      <w:ind w:left="431" w:hanging="431"/>
      <w:jc w:val="both"/>
    </w:pPr>
    <w:rPr>
      <w:noProof w:val="0"/>
      <w:kern w:val="0"/>
      <w:sz w:val="24"/>
      <w:szCs w:val="24"/>
      <w:lang w:val="en-US" w:eastAsia="en-US"/>
    </w:rPr>
  </w:style>
  <w:style w:type="character" w:customStyle="1" w:styleId="HeadingCharChar">
    <w:name w:val="Heading Char Char"/>
    <w:link w:val="Heading"/>
    <w:locked/>
    <w:rPr>
      <w:rFonts w:ascii="Cambria" w:eastAsia="Times New Roman" w:hAnsi="Cambria" w:cs="Times New Roman"/>
      <w:b/>
      <w:bCs/>
      <w:sz w:val="24"/>
      <w:szCs w:val="24"/>
      <w:lang w:val="en-US"/>
    </w:rPr>
  </w:style>
  <w:style w:type="paragraph" w:styleId="Revision">
    <w:name w:val="Revision"/>
    <w:hidden/>
    <w:semiHidden/>
    <w:pPr>
      <w:spacing w:after="0" w:line="240" w:lineRule="auto"/>
    </w:pPr>
    <w:rPr>
      <w:rFonts w:ascii="Times New Roman" w:eastAsia="Times New Roman" w:hAnsi="Times New Roman" w:cs="Times New Roman"/>
      <w:noProof/>
      <w:sz w:val="24"/>
      <w:szCs w:val="24"/>
      <w:lang w:eastAsia="ar-SA"/>
    </w:rPr>
  </w:style>
  <w:style w:type="character" w:customStyle="1" w:styleId="yiv3913771982labeldatatext">
    <w:name w:val="yiv3913771982labeldatatext"/>
  </w:style>
  <w:style w:type="paragraph" w:customStyle="1" w:styleId="ListParagraph1">
    <w:name w:val="List Paragraph1"/>
    <w:aliases w:val="Header bold,Lista bullet,Bullet Points,Liste Paragraf,Normal bullet 2,body 2,List Paragraph2,Paragraph,Paragraphe de liste PBLH,Bullet list,Figure_name,Equipment,Numbered Indented Text,lp1,List Paragraph11,List Paragraph111"/>
    <w:basedOn w:val="Normal"/>
    <w:link w:val="ListParagraphChar"/>
    <w:uiPriority w:val="34"/>
    <w:qFormat/>
    <w:pPr>
      <w:ind w:left="720"/>
      <w:contextualSpacing/>
    </w:pPr>
  </w:style>
  <w:style w:type="character" w:customStyle="1" w:styleId="characterstyle30">
    <w:name w:val="characterstyle3"/>
    <w:rPr>
      <w:rFonts w:cs="Times New Roman"/>
    </w:rPr>
  </w:style>
  <w:style w:type="paragraph" w:styleId="TOC8">
    <w:name w:val="toc 8"/>
    <w:basedOn w:val="Normal"/>
    <w:next w:val="Normal"/>
    <w:autoRedefine/>
    <w:pPr>
      <w:spacing w:after="100"/>
      <w:ind w:left="1680"/>
    </w:pPr>
  </w:style>
  <w:style w:type="character" w:customStyle="1" w:styleId="ListParagraphChar">
    <w:name w:val="List Paragraph Char"/>
    <w:aliases w:val="Header bold Char,List Paragraph1 Char,Lista bullet Char,Bullet Points Char,Liste Paragraf Char,Normal bullet 2 Char,body 2 Char,List Paragraph2 Char,Paragraph Char,Paragraphe de liste PBLH Char,Bullet list Char,Figure_name Char"/>
    <w:link w:val="ListParagraph1"/>
    <w:uiPriority w:val="34"/>
    <w:qFormat/>
    <w:locked/>
    <w:rPr>
      <w:rFonts w:ascii="Times New Roman" w:eastAsia="Times New Roman" w:hAnsi="Times New Roman" w:cs="Times New Roman"/>
      <w:noProof/>
      <w:sz w:val="24"/>
      <w:szCs w:val="24"/>
      <w:lang w:eastAsia="ar-SA"/>
    </w:rPr>
  </w:style>
  <w:style w:type="character" w:customStyle="1" w:styleId="Normal1">
    <w:name w:val="Normal1"/>
    <w:rPr>
      <w:rFonts w:ascii="Arial" w:hAnsi="Arial" w:cs="Arial"/>
    </w:rPr>
  </w:style>
  <w:style w:type="character" w:customStyle="1" w:styleId="u-displayfieldfield">
    <w:name w:val="u-displayfield__field"/>
  </w:style>
  <w:style w:type="character" w:customStyle="1" w:styleId="u-displayfieldpreffix">
    <w:name w:val="u-displayfield__preffix"/>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bullets,Lettre d'introduction,Arial,List_Paragraph,Multilevel para_II,Forth level,Listă colorată - Accentuare 11,EU,Obiekt,E"/>
    <w:basedOn w:val="Normal"/>
    <w:uiPriority w:val="34"/>
    <w:qFormat/>
    <w:pPr>
      <w:ind w:left="720"/>
      <w:contextualSpacing/>
    </w:p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ListBullet">
    <w:name w:val="List Bullet"/>
    <w:basedOn w:val="Normal"/>
    <w:unhideWhenUsed/>
    <w:qFormat/>
    <w:pPr>
      <w:numPr>
        <w:numId w:val="3"/>
      </w:numPr>
      <w:suppressAutoHyphens w:val="0"/>
      <w:spacing w:before="200" w:after="200" w:line="276" w:lineRule="auto"/>
      <w:contextualSpacing/>
    </w:pPr>
    <w:rPr>
      <w:rFonts w:ascii="Calibri" w:hAnsi="Calibri"/>
      <w:noProof w:val="0"/>
      <w:sz w:val="20"/>
      <w:szCs w:val="20"/>
      <w:lang w:val="en-US" w:eastAsia="en-US"/>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47423">
      <w:bodyDiv w:val="1"/>
      <w:marLeft w:val="0"/>
      <w:marRight w:val="0"/>
      <w:marTop w:val="0"/>
      <w:marBottom w:val="0"/>
      <w:divBdr>
        <w:top w:val="none" w:sz="0" w:space="0" w:color="auto"/>
        <w:left w:val="none" w:sz="0" w:space="0" w:color="auto"/>
        <w:bottom w:val="none" w:sz="0" w:space="0" w:color="auto"/>
        <w:right w:val="none" w:sz="0" w:space="0" w:color="auto"/>
      </w:divBdr>
    </w:div>
    <w:div w:id="354039919">
      <w:bodyDiv w:val="1"/>
      <w:marLeft w:val="0"/>
      <w:marRight w:val="0"/>
      <w:marTop w:val="0"/>
      <w:marBottom w:val="0"/>
      <w:divBdr>
        <w:top w:val="none" w:sz="0" w:space="0" w:color="auto"/>
        <w:left w:val="none" w:sz="0" w:space="0" w:color="auto"/>
        <w:bottom w:val="none" w:sz="0" w:space="0" w:color="auto"/>
        <w:right w:val="none" w:sz="0" w:space="0" w:color="auto"/>
      </w:divBdr>
    </w:div>
    <w:div w:id="434256345">
      <w:bodyDiv w:val="1"/>
      <w:marLeft w:val="0"/>
      <w:marRight w:val="0"/>
      <w:marTop w:val="0"/>
      <w:marBottom w:val="0"/>
      <w:divBdr>
        <w:top w:val="none" w:sz="0" w:space="0" w:color="auto"/>
        <w:left w:val="none" w:sz="0" w:space="0" w:color="auto"/>
        <w:bottom w:val="none" w:sz="0" w:space="0" w:color="auto"/>
        <w:right w:val="none" w:sz="0" w:space="0" w:color="auto"/>
      </w:divBdr>
    </w:div>
    <w:div w:id="437212438">
      <w:bodyDiv w:val="1"/>
      <w:marLeft w:val="0"/>
      <w:marRight w:val="0"/>
      <w:marTop w:val="0"/>
      <w:marBottom w:val="0"/>
      <w:divBdr>
        <w:top w:val="none" w:sz="0" w:space="0" w:color="auto"/>
        <w:left w:val="none" w:sz="0" w:space="0" w:color="auto"/>
        <w:bottom w:val="none" w:sz="0" w:space="0" w:color="auto"/>
        <w:right w:val="none" w:sz="0" w:space="0" w:color="auto"/>
      </w:divBdr>
    </w:div>
    <w:div w:id="932084662">
      <w:bodyDiv w:val="1"/>
      <w:marLeft w:val="0"/>
      <w:marRight w:val="0"/>
      <w:marTop w:val="0"/>
      <w:marBottom w:val="0"/>
      <w:divBdr>
        <w:top w:val="none" w:sz="0" w:space="0" w:color="auto"/>
        <w:left w:val="none" w:sz="0" w:space="0" w:color="auto"/>
        <w:bottom w:val="none" w:sz="0" w:space="0" w:color="auto"/>
        <w:right w:val="none" w:sz="0" w:space="0" w:color="auto"/>
      </w:divBdr>
    </w:div>
    <w:div w:id="1084912718">
      <w:bodyDiv w:val="1"/>
      <w:marLeft w:val="0"/>
      <w:marRight w:val="0"/>
      <w:marTop w:val="0"/>
      <w:marBottom w:val="0"/>
      <w:divBdr>
        <w:top w:val="none" w:sz="0" w:space="0" w:color="auto"/>
        <w:left w:val="none" w:sz="0" w:space="0" w:color="auto"/>
        <w:bottom w:val="none" w:sz="0" w:space="0" w:color="auto"/>
        <w:right w:val="none" w:sz="0" w:space="0" w:color="auto"/>
      </w:divBdr>
    </w:div>
    <w:div w:id="1106344279">
      <w:bodyDiv w:val="1"/>
      <w:marLeft w:val="0"/>
      <w:marRight w:val="0"/>
      <w:marTop w:val="0"/>
      <w:marBottom w:val="0"/>
      <w:divBdr>
        <w:top w:val="none" w:sz="0" w:space="0" w:color="auto"/>
        <w:left w:val="none" w:sz="0" w:space="0" w:color="auto"/>
        <w:bottom w:val="none" w:sz="0" w:space="0" w:color="auto"/>
        <w:right w:val="none" w:sz="0" w:space="0" w:color="auto"/>
      </w:divBdr>
    </w:div>
    <w:div w:id="1650818825">
      <w:bodyDiv w:val="1"/>
      <w:marLeft w:val="0"/>
      <w:marRight w:val="0"/>
      <w:marTop w:val="0"/>
      <w:marBottom w:val="0"/>
      <w:divBdr>
        <w:top w:val="none" w:sz="0" w:space="0" w:color="auto"/>
        <w:left w:val="none" w:sz="0" w:space="0" w:color="auto"/>
        <w:bottom w:val="none" w:sz="0" w:space="0" w:color="auto"/>
        <w:right w:val="none" w:sz="0" w:space="0" w:color="auto"/>
      </w:divBdr>
    </w:div>
    <w:div w:id="19454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cjgalati.r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cjgalati.r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citatii@cjgalati.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licitatie.ro"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licitatie.ro"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02703EF26E6D4E977A1588C092D7CF" ma:contentTypeVersion="13" ma:contentTypeDescription="Create a new document." ma:contentTypeScope="" ma:versionID="8bec1364705d3d338c9f5a5030dfd7ba">
  <xsd:schema xmlns:xsd="http://www.w3.org/2001/XMLSchema" xmlns:xs="http://www.w3.org/2001/XMLSchema" xmlns:p="http://schemas.microsoft.com/office/2006/metadata/properties" xmlns:ns2="65f635d2-82ea-4d78-897f-ada8f4f641e5" xmlns:ns3="0494921f-b99c-48a6-97e8-37f76fa0b79e" targetNamespace="http://schemas.microsoft.com/office/2006/metadata/properties" ma:root="true" ma:fieldsID="4a4d8f496197484a1975ba483d6d62d5" ns2:_="" ns3:_="">
    <xsd:import namespace="65f635d2-82ea-4d78-897f-ada8f4f641e5"/>
    <xsd:import namespace="0494921f-b99c-48a6-97e8-37f76fa0b79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f635d2-82ea-4d78-897f-ada8f4f64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94921f-b99c-48a6-97e8-37f76fa0b79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87494-4C73-4829-9314-7FA19D9B2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f635d2-82ea-4d78-897f-ada8f4f641e5"/>
    <ds:schemaRef ds:uri="0494921f-b99c-48a6-97e8-37f76fa0b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BCF52-377F-4AD8-BBAD-4A5461255834}">
  <ds:schemaRefs>
    <ds:schemaRef ds:uri="http://schemas.microsoft.com/sharepoint/v3/contenttype/forms"/>
  </ds:schemaRefs>
</ds:datastoreItem>
</file>

<file path=customXml/itemProps3.xml><?xml version="1.0" encoding="utf-8"?>
<ds:datastoreItem xmlns:ds="http://schemas.openxmlformats.org/officeDocument/2006/customXml" ds:itemID="{806A91FC-F3ED-4AB9-923C-9EA4600F8B76}">
  <ds:schemaRefs>
    <ds:schemaRef ds:uri="http://schemas.microsoft.com/sharepoint/v3/contenttype/forms"/>
  </ds:schemaRefs>
</ds:datastoreItem>
</file>

<file path=customXml/itemProps4.xml><?xml version="1.0" encoding="utf-8"?>
<ds:datastoreItem xmlns:ds="http://schemas.openxmlformats.org/officeDocument/2006/customXml" ds:itemID="{A3EE6728-A09B-4519-B119-189147C96D0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D2530C-C37D-4588-847F-4824D8FE5B3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D60D97-0513-4EE0-ADEE-E2B3AA9D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13561</Words>
  <Characters>77303</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t-user</cp:lastModifiedBy>
  <cp:revision>7</cp:revision>
  <cp:lastPrinted>2025-05-29T08:29:00Z</cp:lastPrinted>
  <dcterms:created xsi:type="dcterms:W3CDTF">2026-05-20T20:16:00Z</dcterms:created>
  <dcterms:modified xsi:type="dcterms:W3CDTF">2026-05-22T04:47:00Z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0x010100C202703EF26E6D4E977A1588C092D7CF</vt:lpwstr>
  </property>
</Properties>
</file>